
<file path=[Content_Types].xml><?xml version="1.0" encoding="utf-8"?>
<Types xmlns="http://schemas.openxmlformats.org/package/2006/content-types">
  <Default Extension="png" ContentType="image/png"/>
  <Default Extension="tmp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357B2A" w14:textId="77777777" w:rsidR="002016E8" w:rsidRPr="002016E8" w:rsidRDefault="002016E8" w:rsidP="002016E8">
      <w:pPr>
        <w:spacing w:after="0" w:line="240" w:lineRule="auto"/>
        <w:jc w:val="right"/>
        <w:rPr>
          <w:rFonts w:ascii="Calibri" w:eastAsia="Times New Roman" w:hAnsi="Calibri" w:cs="Calibri"/>
          <w:b/>
          <w:sz w:val="48"/>
          <w:szCs w:val="48"/>
        </w:rPr>
      </w:pPr>
      <w:bookmarkStart w:id="0" w:name="_Toc153189647"/>
      <w:r w:rsidRPr="002016E8">
        <w:rPr>
          <w:rFonts w:ascii="Calibri" w:eastAsia="Times New Roman" w:hAnsi="Calibri" w:cs="Calibri"/>
          <w:b/>
          <w:sz w:val="48"/>
          <w:szCs w:val="48"/>
        </w:rPr>
        <w:t>Short Form Work Paper WPSDGEREWH0025</w:t>
      </w:r>
    </w:p>
    <w:p w14:paraId="45C2CE41" w14:textId="7822D656" w:rsidR="002016E8" w:rsidRPr="002016E8" w:rsidRDefault="002016E8" w:rsidP="002016E8">
      <w:pPr>
        <w:spacing w:after="0" w:line="240" w:lineRule="auto"/>
        <w:jc w:val="right"/>
        <w:rPr>
          <w:rFonts w:ascii="Calibri" w:eastAsia="Times New Roman" w:hAnsi="Calibri" w:cs="Calibri"/>
          <w:b/>
          <w:sz w:val="48"/>
          <w:szCs w:val="48"/>
        </w:rPr>
      </w:pPr>
      <w:r w:rsidRPr="002016E8">
        <w:rPr>
          <w:rFonts w:ascii="Calibri" w:eastAsia="Times New Roman" w:hAnsi="Calibri" w:cs="Calibri"/>
          <w:b/>
          <w:sz w:val="48"/>
          <w:szCs w:val="48"/>
        </w:rPr>
        <w:tab/>
      </w:r>
      <w:r w:rsidRPr="002016E8">
        <w:rPr>
          <w:rFonts w:ascii="Calibri" w:eastAsia="Times New Roman" w:hAnsi="Calibri" w:cs="Times New Roman"/>
          <w:b/>
          <w:sz w:val="48"/>
          <w:szCs w:val="3276"/>
        </w:rPr>
        <w:t xml:space="preserve">Revision </w:t>
      </w:r>
      <w:r w:rsidR="00A84121">
        <w:rPr>
          <w:rFonts w:ascii="Calibri" w:eastAsia="Times New Roman" w:hAnsi="Calibri" w:cs="Times New Roman"/>
          <w:b/>
          <w:sz w:val="48"/>
          <w:szCs w:val="3276"/>
        </w:rPr>
        <w:t>2</w:t>
      </w:r>
    </w:p>
    <w:bookmarkEnd w:id="0"/>
    <w:p w14:paraId="5D6F5ED7" w14:textId="77777777" w:rsidR="002016E8" w:rsidRPr="002016E8" w:rsidRDefault="002016E8" w:rsidP="002016E8">
      <w:pPr>
        <w:spacing w:after="0" w:line="240" w:lineRule="auto"/>
        <w:jc w:val="right"/>
        <w:rPr>
          <w:rFonts w:ascii="Calibri" w:eastAsia="Times New Roman" w:hAnsi="Calibri" w:cs="Calibri"/>
          <w:b/>
          <w:sz w:val="48"/>
          <w:szCs w:val="48"/>
        </w:rPr>
      </w:pPr>
    </w:p>
    <w:p w14:paraId="14964609" w14:textId="77777777" w:rsidR="002016E8" w:rsidRPr="002016E8" w:rsidRDefault="002016E8" w:rsidP="002016E8">
      <w:pPr>
        <w:pBdr>
          <w:bottom w:val="single" w:sz="4" w:space="1" w:color="auto"/>
        </w:pBdr>
        <w:spacing w:after="0" w:line="240" w:lineRule="auto"/>
        <w:rPr>
          <w:rFonts w:ascii="Calibri" w:eastAsia="Times New Roman" w:hAnsi="Calibri" w:cs="Calibri"/>
          <w:b/>
          <w:sz w:val="36"/>
          <w:szCs w:val="36"/>
        </w:rPr>
      </w:pPr>
      <w:r w:rsidRPr="002016E8">
        <w:rPr>
          <w:rFonts w:ascii="Calibri" w:eastAsia="Times New Roman" w:hAnsi="Calibri" w:cs="Calibri"/>
          <w:b/>
          <w:sz w:val="36"/>
          <w:szCs w:val="36"/>
        </w:rPr>
        <w:t>San Diego Gas &amp; Electric</w:t>
      </w:r>
    </w:p>
    <w:p w14:paraId="64097845" w14:textId="77777777" w:rsidR="002016E8" w:rsidRPr="002016E8" w:rsidRDefault="002016E8" w:rsidP="002016E8">
      <w:pPr>
        <w:spacing w:after="0" w:line="240" w:lineRule="auto"/>
        <w:rPr>
          <w:rFonts w:ascii="Calibri" w:eastAsia="Times New Roman" w:hAnsi="Calibri" w:cs="Calibri"/>
          <w:b/>
          <w:sz w:val="32"/>
          <w:szCs w:val="24"/>
        </w:rPr>
      </w:pPr>
      <w:r w:rsidRPr="002016E8">
        <w:rPr>
          <w:rFonts w:ascii="Calibri" w:eastAsia="Times New Roman" w:hAnsi="Calibri" w:cs="Calibri"/>
          <w:b/>
          <w:sz w:val="32"/>
          <w:szCs w:val="24"/>
        </w:rPr>
        <w:t>Energy Efficiency Engineering</w:t>
      </w:r>
    </w:p>
    <w:p w14:paraId="5A57E753" w14:textId="77777777" w:rsidR="002016E8" w:rsidRPr="002016E8" w:rsidRDefault="002016E8" w:rsidP="002016E8">
      <w:pPr>
        <w:spacing w:after="0" w:line="240" w:lineRule="auto"/>
        <w:rPr>
          <w:rFonts w:ascii="Calibri" w:eastAsia="Times New Roman" w:hAnsi="Calibri" w:cs="Calibri"/>
          <w:szCs w:val="24"/>
        </w:rPr>
      </w:pPr>
    </w:p>
    <w:p w14:paraId="79524972" w14:textId="77777777" w:rsidR="002016E8" w:rsidRPr="002016E8" w:rsidRDefault="002016E8" w:rsidP="002016E8">
      <w:pPr>
        <w:tabs>
          <w:tab w:val="left" w:pos="8190"/>
        </w:tabs>
        <w:spacing w:after="0" w:line="240" w:lineRule="auto"/>
        <w:rPr>
          <w:rFonts w:ascii="Calibri" w:eastAsia="Times New Roman" w:hAnsi="Calibri" w:cs="Calibri"/>
          <w:szCs w:val="24"/>
        </w:rPr>
      </w:pPr>
      <w:r w:rsidRPr="002016E8">
        <w:rPr>
          <w:rFonts w:ascii="Calibri" w:eastAsia="Times New Roman" w:hAnsi="Calibri" w:cs="Calibri"/>
          <w:szCs w:val="24"/>
        </w:rPr>
        <w:tab/>
      </w:r>
    </w:p>
    <w:p w14:paraId="64D882A3" w14:textId="77777777" w:rsidR="002016E8" w:rsidRPr="002016E8" w:rsidRDefault="002016E8" w:rsidP="002016E8">
      <w:pPr>
        <w:spacing w:after="0" w:line="240" w:lineRule="auto"/>
        <w:rPr>
          <w:rFonts w:ascii="Calibri" w:eastAsia="Times New Roman" w:hAnsi="Calibri" w:cs="Calibri"/>
          <w:szCs w:val="24"/>
        </w:rPr>
      </w:pPr>
    </w:p>
    <w:p w14:paraId="61189A87" w14:textId="77777777" w:rsidR="002016E8" w:rsidRPr="002016E8" w:rsidRDefault="002016E8" w:rsidP="002016E8">
      <w:pPr>
        <w:spacing w:after="0" w:line="240" w:lineRule="auto"/>
        <w:rPr>
          <w:rFonts w:ascii="Calibri" w:eastAsia="Times New Roman" w:hAnsi="Calibri" w:cs="Calibri"/>
          <w:szCs w:val="24"/>
        </w:rPr>
      </w:pPr>
    </w:p>
    <w:p w14:paraId="07ED1BCA" w14:textId="77777777" w:rsidR="002016E8" w:rsidRPr="002016E8" w:rsidRDefault="002016E8" w:rsidP="002016E8">
      <w:pPr>
        <w:spacing w:after="0" w:line="240" w:lineRule="auto"/>
        <w:rPr>
          <w:rFonts w:ascii="Calibri" w:eastAsia="Times New Roman" w:hAnsi="Calibri" w:cs="Calibri"/>
          <w:szCs w:val="24"/>
        </w:rPr>
      </w:pPr>
    </w:p>
    <w:p w14:paraId="2E4FD9B1" w14:textId="77777777" w:rsidR="002016E8" w:rsidRPr="002016E8" w:rsidRDefault="002016E8" w:rsidP="002016E8">
      <w:pPr>
        <w:spacing w:after="0" w:line="240" w:lineRule="auto"/>
        <w:rPr>
          <w:rFonts w:ascii="Calibri" w:eastAsia="Times New Roman" w:hAnsi="Calibri" w:cs="Calibri"/>
          <w:szCs w:val="24"/>
        </w:rPr>
      </w:pPr>
    </w:p>
    <w:p w14:paraId="485F35D0" w14:textId="77777777" w:rsidR="002016E8" w:rsidRPr="002016E8" w:rsidRDefault="002016E8" w:rsidP="002016E8">
      <w:pPr>
        <w:spacing w:after="0" w:line="240" w:lineRule="auto"/>
        <w:rPr>
          <w:rFonts w:ascii="Calibri" w:eastAsia="Times New Roman" w:hAnsi="Calibri" w:cs="Calibri"/>
          <w:szCs w:val="24"/>
        </w:rPr>
      </w:pPr>
    </w:p>
    <w:p w14:paraId="07A05697" w14:textId="77777777" w:rsidR="002016E8" w:rsidRPr="002016E8" w:rsidRDefault="002016E8" w:rsidP="002016E8">
      <w:pPr>
        <w:spacing w:after="0" w:line="240" w:lineRule="auto"/>
        <w:rPr>
          <w:rFonts w:ascii="Calibri" w:eastAsia="Times New Roman" w:hAnsi="Calibri" w:cs="Calibri"/>
          <w:b/>
          <w:sz w:val="72"/>
          <w:szCs w:val="72"/>
        </w:rPr>
      </w:pPr>
      <w:bookmarkStart w:id="1" w:name="_Toc153189650"/>
      <w:r w:rsidRPr="002016E8">
        <w:rPr>
          <w:rFonts w:ascii="Calibri" w:eastAsia="Times New Roman" w:hAnsi="Calibri" w:cs="Calibri"/>
          <w:b/>
          <w:sz w:val="72"/>
          <w:szCs w:val="72"/>
        </w:rPr>
        <w:t xml:space="preserve">Residential High Efficiency </w:t>
      </w:r>
      <w:bookmarkEnd w:id="1"/>
      <w:r w:rsidRPr="002016E8">
        <w:rPr>
          <w:rFonts w:ascii="Calibri" w:eastAsia="Times New Roman" w:hAnsi="Calibri" w:cs="Calibri"/>
          <w:b/>
          <w:sz w:val="72"/>
          <w:szCs w:val="72"/>
        </w:rPr>
        <w:t>Instantaneous Water Heater</w:t>
      </w:r>
    </w:p>
    <w:p w14:paraId="2D269328" w14:textId="77777777" w:rsidR="002016E8" w:rsidRPr="002016E8" w:rsidRDefault="002016E8" w:rsidP="002016E8">
      <w:pPr>
        <w:spacing w:after="0" w:line="240" w:lineRule="auto"/>
        <w:jc w:val="right"/>
        <w:rPr>
          <w:rFonts w:ascii="Calibri" w:eastAsia="Times New Roman" w:hAnsi="Calibri" w:cs="Calibri"/>
          <w:b/>
          <w:sz w:val="28"/>
          <w:szCs w:val="28"/>
        </w:rPr>
      </w:pPr>
    </w:p>
    <w:p w14:paraId="3BE83721" w14:textId="77777777" w:rsidR="002016E8" w:rsidRPr="002016E8" w:rsidRDefault="002016E8" w:rsidP="002016E8">
      <w:pPr>
        <w:spacing w:after="0" w:line="240" w:lineRule="auto"/>
        <w:jc w:val="right"/>
        <w:rPr>
          <w:rFonts w:ascii="Calibri" w:eastAsia="Times New Roman" w:hAnsi="Calibri" w:cs="Calibri"/>
          <w:b/>
          <w:sz w:val="28"/>
          <w:szCs w:val="28"/>
        </w:rPr>
      </w:pPr>
    </w:p>
    <w:p w14:paraId="5697BF69" w14:textId="77777777" w:rsidR="002016E8" w:rsidRPr="002016E8" w:rsidRDefault="002016E8" w:rsidP="002016E8">
      <w:pPr>
        <w:spacing w:after="0" w:line="240" w:lineRule="auto"/>
        <w:jc w:val="right"/>
        <w:rPr>
          <w:rFonts w:ascii="Calibri" w:eastAsia="Times New Roman" w:hAnsi="Calibri" w:cs="Calibri"/>
          <w:b/>
          <w:sz w:val="28"/>
          <w:szCs w:val="28"/>
        </w:rPr>
      </w:pPr>
    </w:p>
    <w:p w14:paraId="1696F17E" w14:textId="77777777" w:rsidR="002016E8" w:rsidRPr="002016E8" w:rsidRDefault="002016E8" w:rsidP="002016E8">
      <w:pPr>
        <w:spacing w:after="0" w:line="240" w:lineRule="auto"/>
        <w:jc w:val="right"/>
        <w:rPr>
          <w:rFonts w:ascii="Calibri" w:eastAsia="Times New Roman" w:hAnsi="Calibri" w:cs="Calibri"/>
          <w:b/>
          <w:sz w:val="28"/>
          <w:szCs w:val="28"/>
        </w:rPr>
      </w:pPr>
    </w:p>
    <w:p w14:paraId="37BB3A27" w14:textId="77777777" w:rsidR="002016E8" w:rsidRPr="002016E8" w:rsidRDefault="002016E8" w:rsidP="002016E8">
      <w:pPr>
        <w:spacing w:after="0" w:line="240" w:lineRule="auto"/>
        <w:jc w:val="right"/>
        <w:rPr>
          <w:rFonts w:ascii="Calibri" w:eastAsia="Times New Roman" w:hAnsi="Calibri" w:cs="Calibri"/>
          <w:b/>
          <w:sz w:val="28"/>
          <w:szCs w:val="28"/>
        </w:rPr>
      </w:pPr>
    </w:p>
    <w:p w14:paraId="24B2B9AB" w14:textId="77777777" w:rsidR="002016E8" w:rsidRPr="002016E8" w:rsidRDefault="002016E8" w:rsidP="002016E8">
      <w:pPr>
        <w:spacing w:after="0" w:line="240" w:lineRule="auto"/>
        <w:jc w:val="right"/>
        <w:rPr>
          <w:rFonts w:ascii="Calibri" w:eastAsia="Times New Roman" w:hAnsi="Calibri" w:cs="Calibri"/>
          <w:b/>
          <w:sz w:val="28"/>
          <w:szCs w:val="28"/>
        </w:rPr>
      </w:pPr>
    </w:p>
    <w:p w14:paraId="7789A43E" w14:textId="77777777" w:rsidR="002016E8" w:rsidRPr="002016E8" w:rsidRDefault="002016E8" w:rsidP="002016E8">
      <w:pPr>
        <w:spacing w:after="0" w:line="240" w:lineRule="auto"/>
        <w:jc w:val="right"/>
        <w:rPr>
          <w:rFonts w:ascii="Calibri" w:eastAsia="Times New Roman" w:hAnsi="Calibri" w:cs="Calibri"/>
          <w:b/>
          <w:sz w:val="28"/>
          <w:szCs w:val="28"/>
        </w:rPr>
      </w:pPr>
    </w:p>
    <w:p w14:paraId="766ED788" w14:textId="77777777" w:rsidR="002016E8" w:rsidRPr="002016E8" w:rsidRDefault="002016E8" w:rsidP="002016E8">
      <w:pPr>
        <w:spacing w:after="0" w:line="240" w:lineRule="auto"/>
        <w:jc w:val="right"/>
        <w:rPr>
          <w:rFonts w:ascii="Calibri" w:eastAsia="Times New Roman" w:hAnsi="Calibri" w:cs="Calibri"/>
          <w:b/>
          <w:sz w:val="28"/>
          <w:szCs w:val="28"/>
        </w:rPr>
      </w:pPr>
    </w:p>
    <w:p w14:paraId="154F63BC" w14:textId="77777777" w:rsidR="002016E8" w:rsidRPr="002016E8" w:rsidRDefault="002016E8" w:rsidP="002016E8">
      <w:pPr>
        <w:spacing w:after="0" w:line="240" w:lineRule="auto"/>
        <w:jc w:val="right"/>
        <w:rPr>
          <w:rFonts w:ascii="Calibri" w:eastAsia="Times New Roman" w:hAnsi="Calibri" w:cs="Calibri"/>
          <w:b/>
          <w:sz w:val="28"/>
          <w:szCs w:val="28"/>
        </w:rPr>
      </w:pPr>
    </w:p>
    <w:p w14:paraId="21B1E95B" w14:textId="77777777" w:rsidR="002016E8" w:rsidRPr="002016E8" w:rsidRDefault="002016E8" w:rsidP="002016E8">
      <w:pPr>
        <w:spacing w:after="0" w:line="240" w:lineRule="auto"/>
        <w:jc w:val="right"/>
        <w:rPr>
          <w:rFonts w:ascii="Calibri" w:eastAsia="Times New Roman" w:hAnsi="Calibri" w:cs="Calibri"/>
          <w:b/>
          <w:sz w:val="28"/>
          <w:szCs w:val="28"/>
        </w:rPr>
      </w:pPr>
    </w:p>
    <w:p w14:paraId="41521B87" w14:textId="77777777" w:rsidR="002016E8" w:rsidRPr="002016E8" w:rsidRDefault="002016E8" w:rsidP="002016E8">
      <w:pPr>
        <w:spacing w:after="0" w:line="240" w:lineRule="auto"/>
        <w:jc w:val="right"/>
        <w:rPr>
          <w:rFonts w:ascii="Calibri" w:eastAsia="Times New Roman" w:hAnsi="Calibri" w:cs="Calibri"/>
          <w:b/>
          <w:sz w:val="28"/>
          <w:szCs w:val="28"/>
        </w:rPr>
      </w:pPr>
    </w:p>
    <w:p w14:paraId="05F6F139" w14:textId="77777777" w:rsidR="002016E8" w:rsidRPr="002016E8" w:rsidRDefault="002016E8" w:rsidP="002016E8">
      <w:pPr>
        <w:spacing w:after="0" w:line="240" w:lineRule="auto"/>
        <w:jc w:val="right"/>
        <w:rPr>
          <w:rFonts w:ascii="Calibri" w:eastAsia="Times New Roman" w:hAnsi="Calibri" w:cs="Calibri"/>
          <w:b/>
          <w:sz w:val="28"/>
          <w:szCs w:val="28"/>
        </w:rPr>
      </w:pPr>
    </w:p>
    <w:p w14:paraId="6D90CFC0" w14:textId="77777777" w:rsidR="002016E8" w:rsidRPr="002016E8" w:rsidRDefault="002016E8" w:rsidP="002016E8">
      <w:pPr>
        <w:spacing w:after="0" w:line="240" w:lineRule="auto"/>
        <w:jc w:val="right"/>
        <w:rPr>
          <w:rFonts w:ascii="Calibri" w:eastAsia="Times New Roman" w:hAnsi="Calibri" w:cs="Calibri"/>
          <w:b/>
          <w:sz w:val="28"/>
          <w:szCs w:val="28"/>
        </w:rPr>
      </w:pPr>
    </w:p>
    <w:p w14:paraId="677EF3DB" w14:textId="77777777" w:rsidR="002016E8" w:rsidRPr="002016E8" w:rsidRDefault="002016E8" w:rsidP="002016E8">
      <w:pPr>
        <w:spacing w:after="0" w:line="240" w:lineRule="auto"/>
        <w:jc w:val="right"/>
        <w:rPr>
          <w:rFonts w:ascii="Calibri" w:eastAsia="Times New Roman" w:hAnsi="Calibri" w:cs="Calibri"/>
          <w:b/>
          <w:sz w:val="28"/>
          <w:szCs w:val="28"/>
        </w:rPr>
      </w:pPr>
    </w:p>
    <w:p w14:paraId="0C5E032F" w14:textId="77777777" w:rsidR="002016E8" w:rsidRPr="002016E8" w:rsidRDefault="002016E8" w:rsidP="002016E8">
      <w:pPr>
        <w:spacing w:after="0" w:line="240" w:lineRule="auto"/>
        <w:jc w:val="right"/>
        <w:rPr>
          <w:rFonts w:ascii="Calibri" w:eastAsia="Times New Roman" w:hAnsi="Calibri" w:cs="Calibri"/>
          <w:b/>
          <w:sz w:val="28"/>
          <w:szCs w:val="28"/>
        </w:rPr>
      </w:pPr>
    </w:p>
    <w:p w14:paraId="0DACE7C3" w14:textId="32A90B22" w:rsidR="002016E8" w:rsidRPr="002016E8" w:rsidRDefault="00A84121" w:rsidP="002016E8">
      <w:pPr>
        <w:spacing w:after="0" w:line="240" w:lineRule="auto"/>
        <w:jc w:val="right"/>
        <w:rPr>
          <w:rFonts w:ascii="Calibri" w:eastAsia="Times New Roman" w:hAnsi="Calibri" w:cs="Calibri"/>
          <w:b/>
          <w:sz w:val="28"/>
          <w:szCs w:val="28"/>
        </w:rPr>
      </w:pPr>
      <w:r>
        <w:rPr>
          <w:rFonts w:ascii="Calibri" w:eastAsia="Times New Roman" w:hAnsi="Calibri" w:cs="Calibri"/>
          <w:b/>
          <w:sz w:val="28"/>
          <w:szCs w:val="28"/>
        </w:rPr>
        <w:t>February</w:t>
      </w:r>
      <w:r w:rsidR="00737B7E">
        <w:rPr>
          <w:rFonts w:ascii="Calibri" w:eastAsia="Times New Roman" w:hAnsi="Calibri" w:cs="Calibri"/>
          <w:b/>
          <w:sz w:val="28"/>
          <w:szCs w:val="28"/>
        </w:rPr>
        <w:t xml:space="preserve"> 28</w:t>
      </w:r>
      <w:r w:rsidR="002016E8" w:rsidRPr="002016E8">
        <w:rPr>
          <w:rFonts w:ascii="Calibri" w:eastAsia="Times New Roman" w:hAnsi="Calibri" w:cs="Calibri"/>
          <w:b/>
          <w:sz w:val="28"/>
          <w:szCs w:val="28"/>
        </w:rPr>
        <w:t>, 201</w:t>
      </w:r>
      <w:r>
        <w:rPr>
          <w:rFonts w:ascii="Calibri" w:eastAsia="Times New Roman" w:hAnsi="Calibri" w:cs="Calibri"/>
          <w:b/>
          <w:sz w:val="28"/>
          <w:szCs w:val="28"/>
        </w:rPr>
        <w:t>9</w:t>
      </w:r>
    </w:p>
    <w:p w14:paraId="3D43D478" w14:textId="77777777" w:rsidR="002016E8" w:rsidRPr="002016E8" w:rsidRDefault="002016E8" w:rsidP="002016E8">
      <w:pPr>
        <w:spacing w:after="0" w:line="240" w:lineRule="auto"/>
        <w:jc w:val="right"/>
        <w:rPr>
          <w:rFonts w:ascii="Calibri" w:eastAsia="Times New Roman" w:hAnsi="Calibri" w:cs="Calibri"/>
          <w:b/>
          <w:sz w:val="72"/>
          <w:szCs w:val="72"/>
        </w:rPr>
        <w:sectPr w:rsidR="002016E8" w:rsidRPr="002016E8" w:rsidSect="00241A1F">
          <w:footerReference w:type="default" r:id="rId7"/>
          <w:pgSz w:w="12240" w:h="15840"/>
          <w:pgMar w:top="1440" w:right="1440" w:bottom="1440" w:left="1440" w:header="720" w:footer="720" w:gutter="0"/>
          <w:cols w:space="720"/>
          <w:titlePg/>
          <w:docGrid w:linePitch="360"/>
        </w:sectPr>
      </w:pPr>
    </w:p>
    <w:p w14:paraId="6E3AD502" w14:textId="77777777" w:rsidR="002016E8" w:rsidRPr="002016E8" w:rsidRDefault="00561AF6" w:rsidP="002016E8">
      <w:pPr>
        <w:spacing w:after="0" w:line="240" w:lineRule="auto"/>
        <w:rPr>
          <w:rFonts w:ascii="Calibri" w:eastAsia="Times New Roman" w:hAnsi="Calibri" w:cs="Calibri"/>
          <w:b/>
          <w:sz w:val="36"/>
          <w:szCs w:val="36"/>
        </w:rPr>
      </w:pPr>
      <w:bookmarkStart w:id="2" w:name="_Hlk500230861"/>
      <w:r>
        <w:rPr>
          <w:rFonts w:ascii="Calibri" w:eastAsia="Times New Roman" w:hAnsi="Calibri" w:cs="Times New Roman"/>
          <w:b/>
          <w:sz w:val="36"/>
          <w:szCs w:val="36"/>
        </w:rPr>
        <w:lastRenderedPageBreak/>
        <w:t>SDG&amp;E</w:t>
      </w:r>
      <w:r w:rsidR="002016E8" w:rsidRPr="002016E8">
        <w:rPr>
          <w:rFonts w:ascii="Calibri" w:eastAsia="Times New Roman" w:hAnsi="Calibri" w:cs="Times New Roman"/>
          <w:b/>
          <w:sz w:val="36"/>
          <w:szCs w:val="36"/>
        </w:rPr>
        <w:t xml:space="preserve"> – </w:t>
      </w:r>
      <w:r w:rsidR="002016E8" w:rsidRPr="002016E8">
        <w:rPr>
          <w:rFonts w:ascii="Calibri" w:eastAsia="Times New Roman" w:hAnsi="Calibri" w:cs="Calibri"/>
          <w:b/>
          <w:sz w:val="36"/>
          <w:szCs w:val="36"/>
        </w:rPr>
        <w:t>High Efficiency Instantaneous Water Heater</w:t>
      </w:r>
    </w:p>
    <w:p w14:paraId="620AB0A0" w14:textId="77777777" w:rsidR="002016E8" w:rsidRPr="002016E8" w:rsidRDefault="002016E8" w:rsidP="002016E8">
      <w:pPr>
        <w:spacing w:after="0" w:line="240" w:lineRule="auto"/>
        <w:rPr>
          <w:rFonts w:ascii="Calibri" w:eastAsia="Times New Roman" w:hAnsi="Calibri" w:cs="Calibri"/>
          <w:b/>
          <w:sz w:val="36"/>
          <w:szCs w:val="36"/>
        </w:rPr>
      </w:pPr>
    </w:p>
    <w:p w14:paraId="4F26D08D" w14:textId="77777777" w:rsidR="002016E8" w:rsidRPr="002016E8" w:rsidRDefault="002016E8" w:rsidP="002016E8">
      <w:pPr>
        <w:spacing w:after="0" w:line="240" w:lineRule="auto"/>
        <w:rPr>
          <w:rFonts w:ascii="Calibri" w:eastAsia="Times New Roman" w:hAnsi="Calibri" w:cs="Calibri"/>
          <w:b/>
          <w:sz w:val="36"/>
          <w:szCs w:val="36"/>
        </w:rPr>
      </w:pPr>
    </w:p>
    <w:bookmarkEnd w:id="2"/>
    <w:p w14:paraId="1F1B96AE" w14:textId="77777777" w:rsidR="002016E8" w:rsidRPr="002016E8" w:rsidRDefault="002016E8" w:rsidP="002016E8">
      <w:pPr>
        <w:keepNext/>
        <w:spacing w:before="240" w:after="60" w:line="240" w:lineRule="auto"/>
        <w:outlineLvl w:val="1"/>
        <w:rPr>
          <w:rFonts w:ascii="Arial Narrow" w:eastAsia="Times New Roman" w:hAnsi="Arial Narrow" w:cs="Arial"/>
          <w:b/>
          <w:bCs/>
          <w:iCs/>
          <w:smallCaps/>
          <w:sz w:val="28"/>
          <w:szCs w:val="28"/>
        </w:rPr>
      </w:pPr>
      <w:r w:rsidRPr="002016E8">
        <w:rPr>
          <w:rFonts w:ascii="Arial Narrow" w:eastAsia="Times New Roman" w:hAnsi="Arial Narrow" w:cs="Arial"/>
          <w:b/>
          <w:bCs/>
          <w:iCs/>
          <w:smallCaps/>
          <w:sz w:val="28"/>
          <w:szCs w:val="28"/>
        </w:rPr>
        <w:t>Introduction</w:t>
      </w:r>
    </w:p>
    <w:p w14:paraId="00704271" w14:textId="77777777" w:rsidR="00034EF0" w:rsidRPr="00034EF0" w:rsidRDefault="00034EF0" w:rsidP="00034EF0">
      <w:pPr>
        <w:spacing w:after="200" w:line="276" w:lineRule="auto"/>
        <w:rPr>
          <w:rFonts w:ascii="Calibri" w:eastAsia="Times New Roman" w:hAnsi="Calibri" w:cs="Calibri"/>
        </w:rPr>
      </w:pPr>
      <w:r w:rsidRPr="00034EF0">
        <w:rPr>
          <w:rFonts w:ascii="Calibri" w:eastAsia="Times New Roman" w:hAnsi="Calibri" w:cs="Calibri"/>
        </w:rPr>
        <w:t xml:space="preserve">This short form workpaper documents the ex-ante load impact and cost-effectiveness values used for </w:t>
      </w:r>
      <w:r>
        <w:rPr>
          <w:rFonts w:ascii="Calibri" w:eastAsia="Times New Roman" w:hAnsi="Calibri" w:cs="Calibri"/>
        </w:rPr>
        <w:t>High Efficiency Instantaneous</w:t>
      </w:r>
      <w:r w:rsidRPr="00034EF0">
        <w:rPr>
          <w:rFonts w:ascii="Calibri" w:eastAsia="Times New Roman" w:hAnsi="Calibri" w:cs="Calibri"/>
        </w:rPr>
        <w:t xml:space="preserve"> Water Heaters. </w:t>
      </w:r>
    </w:p>
    <w:p w14:paraId="6DB1A97D" w14:textId="77777777" w:rsidR="002016E8" w:rsidRPr="002016E8" w:rsidRDefault="002016E8" w:rsidP="002016E8">
      <w:pPr>
        <w:keepNext/>
        <w:spacing w:before="240" w:after="60" w:line="240" w:lineRule="auto"/>
        <w:outlineLvl w:val="1"/>
        <w:rPr>
          <w:rFonts w:ascii="Arial Narrow" w:eastAsia="Times New Roman" w:hAnsi="Arial Narrow" w:cs="Arial"/>
          <w:b/>
          <w:bCs/>
          <w:iCs/>
          <w:smallCaps/>
          <w:sz w:val="28"/>
          <w:szCs w:val="28"/>
        </w:rPr>
      </w:pPr>
      <w:r w:rsidRPr="002016E8">
        <w:rPr>
          <w:rFonts w:ascii="Arial Narrow" w:eastAsia="Times New Roman" w:hAnsi="Arial Narrow" w:cs="Arial"/>
          <w:b/>
          <w:bCs/>
          <w:iCs/>
          <w:smallCaps/>
          <w:sz w:val="28"/>
          <w:szCs w:val="28"/>
        </w:rPr>
        <w:t xml:space="preserve">Document Revision History </w:t>
      </w:r>
    </w:p>
    <w:tbl>
      <w:tblPr>
        <w:tblStyle w:val="TableGrid11"/>
        <w:tblW w:w="5000" w:type="pct"/>
        <w:tblLook w:val="01E0" w:firstRow="1" w:lastRow="1" w:firstColumn="1" w:lastColumn="1" w:noHBand="0" w:noVBand="0"/>
      </w:tblPr>
      <w:tblGrid>
        <w:gridCol w:w="524"/>
        <w:gridCol w:w="1266"/>
        <w:gridCol w:w="1894"/>
        <w:gridCol w:w="5666"/>
      </w:tblGrid>
      <w:tr w:rsidR="002016E8" w:rsidRPr="002016E8" w14:paraId="70CEC83A" w14:textId="77777777" w:rsidTr="002016E8">
        <w:trPr>
          <w:trHeight w:val="20"/>
        </w:trPr>
        <w:tc>
          <w:tcPr>
            <w:tcW w:w="280" w:type="pct"/>
            <w:shd w:val="clear" w:color="auto" w:fill="D9D9D9"/>
          </w:tcPr>
          <w:p w14:paraId="53C00257" w14:textId="77777777" w:rsidR="002016E8" w:rsidRPr="002016E8" w:rsidRDefault="002016E8" w:rsidP="002016E8">
            <w:pPr>
              <w:rPr>
                <w:rFonts w:ascii="Calibri" w:hAnsi="Calibri"/>
                <w:b/>
                <w:szCs w:val="24"/>
              </w:rPr>
            </w:pPr>
            <w:r w:rsidRPr="002016E8">
              <w:rPr>
                <w:rFonts w:ascii="Calibri" w:hAnsi="Calibri"/>
                <w:b/>
                <w:bCs/>
                <w:szCs w:val="24"/>
              </w:rPr>
              <w:t>Rev</w:t>
            </w:r>
          </w:p>
        </w:tc>
        <w:tc>
          <w:tcPr>
            <w:tcW w:w="677" w:type="pct"/>
            <w:shd w:val="clear" w:color="auto" w:fill="D9D9D9"/>
          </w:tcPr>
          <w:p w14:paraId="0826B892" w14:textId="77777777" w:rsidR="002016E8" w:rsidRPr="002016E8" w:rsidRDefault="002016E8" w:rsidP="002016E8">
            <w:pPr>
              <w:rPr>
                <w:rFonts w:ascii="Calibri" w:hAnsi="Calibri"/>
                <w:b/>
                <w:szCs w:val="24"/>
              </w:rPr>
            </w:pPr>
            <w:r w:rsidRPr="002016E8">
              <w:rPr>
                <w:rFonts w:ascii="Calibri" w:hAnsi="Calibri"/>
                <w:b/>
                <w:bCs/>
                <w:szCs w:val="24"/>
              </w:rPr>
              <w:t>Date</w:t>
            </w:r>
          </w:p>
        </w:tc>
        <w:tc>
          <w:tcPr>
            <w:tcW w:w="1013" w:type="pct"/>
            <w:shd w:val="clear" w:color="auto" w:fill="D9D9D9"/>
          </w:tcPr>
          <w:p w14:paraId="50838145" w14:textId="77777777" w:rsidR="002016E8" w:rsidRPr="002016E8" w:rsidRDefault="002016E8" w:rsidP="002016E8">
            <w:pPr>
              <w:rPr>
                <w:rFonts w:ascii="Calibri" w:hAnsi="Calibri"/>
                <w:b/>
                <w:szCs w:val="24"/>
              </w:rPr>
            </w:pPr>
            <w:r w:rsidRPr="002016E8">
              <w:rPr>
                <w:rFonts w:ascii="Calibri" w:hAnsi="Calibri"/>
                <w:b/>
                <w:bCs/>
                <w:szCs w:val="24"/>
              </w:rPr>
              <w:t>Author</w:t>
            </w:r>
          </w:p>
        </w:tc>
        <w:tc>
          <w:tcPr>
            <w:tcW w:w="3030" w:type="pct"/>
            <w:shd w:val="clear" w:color="auto" w:fill="D9D9D9"/>
          </w:tcPr>
          <w:p w14:paraId="600311CD" w14:textId="77777777" w:rsidR="002016E8" w:rsidRPr="002016E8" w:rsidRDefault="002016E8" w:rsidP="002016E8">
            <w:pPr>
              <w:rPr>
                <w:rFonts w:ascii="Calibri" w:hAnsi="Calibri"/>
                <w:b/>
                <w:szCs w:val="24"/>
              </w:rPr>
            </w:pPr>
            <w:r w:rsidRPr="002016E8">
              <w:rPr>
                <w:rFonts w:ascii="Calibri" w:hAnsi="Calibri"/>
                <w:b/>
                <w:bCs/>
                <w:szCs w:val="24"/>
              </w:rPr>
              <w:t>Summary of Changes</w:t>
            </w:r>
          </w:p>
        </w:tc>
      </w:tr>
      <w:tr w:rsidR="002016E8" w:rsidRPr="002016E8" w14:paraId="24773C23" w14:textId="77777777" w:rsidTr="005F1D5A">
        <w:trPr>
          <w:trHeight w:val="20"/>
        </w:trPr>
        <w:tc>
          <w:tcPr>
            <w:tcW w:w="280" w:type="pct"/>
          </w:tcPr>
          <w:p w14:paraId="47E44258" w14:textId="77777777" w:rsidR="002016E8" w:rsidRPr="002016E8" w:rsidRDefault="002016E8" w:rsidP="002016E8">
            <w:pPr>
              <w:jc w:val="center"/>
              <w:rPr>
                <w:rFonts w:ascii="Calibri" w:hAnsi="Calibri" w:cs="Calibri"/>
              </w:rPr>
            </w:pPr>
            <w:r w:rsidRPr="002016E8">
              <w:rPr>
                <w:rFonts w:ascii="Calibri" w:hAnsi="Calibri" w:cs="Calibri"/>
              </w:rPr>
              <w:t>0</w:t>
            </w:r>
          </w:p>
        </w:tc>
        <w:tc>
          <w:tcPr>
            <w:tcW w:w="677" w:type="pct"/>
          </w:tcPr>
          <w:p w14:paraId="1AD20BC1" w14:textId="77777777" w:rsidR="002016E8" w:rsidRPr="002016E8" w:rsidRDefault="002016E8" w:rsidP="002016E8">
            <w:pPr>
              <w:jc w:val="center"/>
              <w:rPr>
                <w:rFonts w:ascii="Calibri" w:hAnsi="Calibri" w:cs="Calibri"/>
              </w:rPr>
            </w:pPr>
            <w:r w:rsidRPr="002016E8">
              <w:rPr>
                <w:rFonts w:ascii="Calibri" w:hAnsi="Calibri"/>
              </w:rPr>
              <w:t>03/14/2018</w:t>
            </w:r>
          </w:p>
        </w:tc>
        <w:tc>
          <w:tcPr>
            <w:tcW w:w="1013" w:type="pct"/>
          </w:tcPr>
          <w:p w14:paraId="0719A02B" w14:textId="77777777" w:rsidR="002016E8" w:rsidRPr="002016E8" w:rsidRDefault="002016E8" w:rsidP="002016E8">
            <w:pPr>
              <w:rPr>
                <w:rFonts w:ascii="Calibri" w:hAnsi="Calibri" w:cs="Calibri"/>
              </w:rPr>
            </w:pPr>
            <w:r w:rsidRPr="002016E8">
              <w:rPr>
                <w:rFonts w:ascii="Calibri" w:hAnsi="Calibri" w:cs="Calibri"/>
              </w:rPr>
              <w:t>Keith Valenzuela/SDGE Contractor</w:t>
            </w:r>
          </w:p>
        </w:tc>
        <w:tc>
          <w:tcPr>
            <w:tcW w:w="3030" w:type="pct"/>
          </w:tcPr>
          <w:p w14:paraId="7D2235CF" w14:textId="77777777" w:rsidR="002016E8" w:rsidRPr="002016E8" w:rsidRDefault="002016E8" w:rsidP="002016E8">
            <w:pPr>
              <w:rPr>
                <w:rFonts w:ascii="Calibri" w:hAnsi="Calibri" w:cs="Calibri"/>
              </w:rPr>
            </w:pPr>
            <w:r w:rsidRPr="002016E8">
              <w:rPr>
                <w:rFonts w:ascii="Calibri" w:hAnsi="Calibri"/>
                <w:bCs/>
              </w:rPr>
              <w:t xml:space="preserve">- Adapted READI </w:t>
            </w:r>
            <w:r w:rsidRPr="002016E8">
              <w:rPr>
                <w:rFonts w:ascii="Calibri" w:hAnsi="Calibri"/>
              </w:rPr>
              <w:t>v.2.4.7 cost and energy impacts</w:t>
            </w:r>
          </w:p>
        </w:tc>
      </w:tr>
      <w:tr w:rsidR="002016E8" w:rsidRPr="002016E8" w14:paraId="7FAC52D1" w14:textId="77777777" w:rsidTr="005F1D5A">
        <w:trPr>
          <w:trHeight w:val="20"/>
        </w:trPr>
        <w:tc>
          <w:tcPr>
            <w:tcW w:w="280" w:type="pct"/>
          </w:tcPr>
          <w:p w14:paraId="0D4AE0F6" w14:textId="77777777" w:rsidR="002016E8" w:rsidRPr="002016E8" w:rsidRDefault="00671DC1" w:rsidP="002016E8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677" w:type="pct"/>
          </w:tcPr>
          <w:p w14:paraId="0CA4F378" w14:textId="19C4FB8D" w:rsidR="002016E8" w:rsidRPr="002016E8" w:rsidRDefault="00671DC1" w:rsidP="002016E8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12/28/2018</w:t>
            </w:r>
          </w:p>
        </w:tc>
        <w:tc>
          <w:tcPr>
            <w:tcW w:w="1013" w:type="pct"/>
          </w:tcPr>
          <w:p w14:paraId="2F1CFB9E" w14:textId="77777777" w:rsidR="002016E8" w:rsidRPr="002016E8" w:rsidRDefault="00671DC1" w:rsidP="002016E8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Kelvin Valenzuela/SDGE</w:t>
            </w:r>
          </w:p>
        </w:tc>
        <w:tc>
          <w:tcPr>
            <w:tcW w:w="3030" w:type="pct"/>
          </w:tcPr>
          <w:p w14:paraId="05ED98A5" w14:textId="77777777" w:rsidR="007D1F93" w:rsidRPr="007D1F93" w:rsidRDefault="007D1F93" w:rsidP="007D1F93">
            <w:pPr>
              <w:spacing w:after="200" w:line="276" w:lineRule="auto"/>
              <w:contextualSpacing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- </w:t>
            </w:r>
            <w:r w:rsidRPr="007D1F93">
              <w:rPr>
                <w:rFonts w:ascii="Calibri" w:hAnsi="Calibri" w:cs="Calibri"/>
              </w:rPr>
              <w:t>Updated workpaper to incorporate EF to UEF DEER IDs, which will be implemented 1/1/18.</w:t>
            </w:r>
          </w:p>
          <w:p w14:paraId="0705A6EB" w14:textId="77777777" w:rsidR="007D1F93" w:rsidRPr="007D1F93" w:rsidRDefault="007D1F93" w:rsidP="007D1F93">
            <w:pPr>
              <w:spacing w:after="200" w:line="276" w:lineRule="auto"/>
              <w:contextualSpacing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- </w:t>
            </w:r>
            <w:r w:rsidRPr="007D1F93">
              <w:rPr>
                <w:rFonts w:ascii="Calibri" w:hAnsi="Calibri" w:cs="Calibri"/>
              </w:rPr>
              <w:t xml:space="preserve">Cost values were adopted from </w:t>
            </w:r>
            <w:r>
              <w:rPr>
                <w:rFonts w:ascii="Calibri" w:hAnsi="Calibri" w:cs="Calibri"/>
              </w:rPr>
              <w:t>SCG’s WPSCGREWH120919A-Rev4</w:t>
            </w:r>
          </w:p>
          <w:p w14:paraId="7EE148F4" w14:textId="77777777" w:rsidR="007D1F93" w:rsidRPr="007D1F93" w:rsidRDefault="007D1F93" w:rsidP="007D1F93">
            <w:pPr>
              <w:spacing w:after="200" w:line="276" w:lineRule="auto"/>
              <w:contextualSpacing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- </w:t>
            </w:r>
            <w:r w:rsidRPr="007D1F93">
              <w:rPr>
                <w:rFonts w:ascii="Calibri" w:hAnsi="Calibri" w:cs="Calibri"/>
              </w:rPr>
              <w:t>Update also includes 2018 and 2019 Measure Application Types and Delivery Types.</w:t>
            </w:r>
          </w:p>
          <w:p w14:paraId="23B8B2B3" w14:textId="77777777" w:rsidR="002016E8" w:rsidRPr="002016E8" w:rsidRDefault="007D1F93" w:rsidP="007D1F93">
            <w:pPr>
              <w:rPr>
                <w:rFonts w:ascii="Calibri" w:hAnsi="Calibri" w:cs="Calibri"/>
              </w:rPr>
            </w:pPr>
            <w:r w:rsidRPr="007D1F93">
              <w:rPr>
                <w:rFonts w:ascii="Calibri" w:hAnsi="Calibri" w:cs="Calibri"/>
              </w:rPr>
              <w:t>Updated electric profile</w:t>
            </w:r>
          </w:p>
        </w:tc>
      </w:tr>
      <w:tr w:rsidR="00A84121" w:rsidRPr="002016E8" w14:paraId="65E99A6A" w14:textId="77777777" w:rsidTr="005F1D5A">
        <w:trPr>
          <w:trHeight w:val="20"/>
        </w:trPr>
        <w:tc>
          <w:tcPr>
            <w:tcW w:w="280" w:type="pct"/>
          </w:tcPr>
          <w:p w14:paraId="2338759C" w14:textId="4DD5AFC5" w:rsidR="00A84121" w:rsidRDefault="00A84121" w:rsidP="002016E8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  <w:tc>
          <w:tcPr>
            <w:tcW w:w="677" w:type="pct"/>
          </w:tcPr>
          <w:p w14:paraId="4804A8B4" w14:textId="60AF475B" w:rsidR="00A84121" w:rsidRDefault="00A84121" w:rsidP="002016E8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2/28/2019</w:t>
            </w:r>
          </w:p>
        </w:tc>
        <w:tc>
          <w:tcPr>
            <w:tcW w:w="1013" w:type="pct"/>
          </w:tcPr>
          <w:p w14:paraId="75C8E2B8" w14:textId="628ABA60" w:rsidR="00A84121" w:rsidRDefault="00A84121" w:rsidP="002016E8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Eduardo Reynoso (SDG&amp;E)</w:t>
            </w:r>
          </w:p>
        </w:tc>
        <w:tc>
          <w:tcPr>
            <w:tcW w:w="3030" w:type="pct"/>
          </w:tcPr>
          <w:p w14:paraId="558A0851" w14:textId="1341BA29" w:rsidR="00A84121" w:rsidRPr="00A84121" w:rsidRDefault="00A84121" w:rsidP="00A84121">
            <w:pPr>
              <w:pStyle w:val="ListParagraph"/>
              <w:numPr>
                <w:ilvl w:val="0"/>
                <w:numId w:val="1"/>
              </w:numPr>
              <w:rPr>
                <w:rFonts w:ascii="Calibri" w:hAnsi="Calibri" w:cs="Calibri"/>
              </w:rPr>
            </w:pPr>
            <w:r>
              <w:rPr>
                <w:rFonts w:cstheme="minorHAnsi"/>
              </w:rPr>
              <w:t xml:space="preserve">Updated workpaper and ex-ante data base for adopting DEER gas </w:t>
            </w:r>
            <w:r w:rsidR="00375E17">
              <w:rPr>
                <w:rFonts w:cstheme="minorHAnsi"/>
              </w:rPr>
              <w:t xml:space="preserve">instantaneous </w:t>
            </w:r>
            <w:r>
              <w:rPr>
                <w:rFonts w:cstheme="minorHAnsi"/>
              </w:rPr>
              <w:t xml:space="preserve">water heater </w:t>
            </w:r>
            <w:proofErr w:type="spellStart"/>
            <w:r>
              <w:rPr>
                <w:rFonts w:cstheme="minorHAnsi"/>
              </w:rPr>
              <w:t>MeasuresIDs</w:t>
            </w:r>
            <w:proofErr w:type="spellEnd"/>
            <w:r>
              <w:rPr>
                <w:rFonts w:cstheme="minorHAnsi"/>
              </w:rPr>
              <w:t>, energy impacts and</w:t>
            </w:r>
            <w:r>
              <w:rPr>
                <w:rFonts w:cstheme="minorHAnsi"/>
              </w:rPr>
              <w:t xml:space="preserve"> based on the latest 2019 DEER Water Heating calculator with start date of 1/1/2019.</w:t>
            </w:r>
            <w:r>
              <w:rPr>
                <w:rFonts w:cstheme="minorHAnsi"/>
              </w:rPr>
              <w:t xml:space="preserve"> </w:t>
            </w:r>
          </w:p>
          <w:p w14:paraId="36AEAB2C" w14:textId="2B6DFD78" w:rsidR="00A84121" w:rsidRDefault="00A84121" w:rsidP="00A84121">
            <w:pPr>
              <w:pStyle w:val="ListParagraph"/>
              <w:numPr>
                <w:ilvl w:val="0"/>
                <w:numId w:val="1"/>
              </w:numPr>
              <w:rPr>
                <w:rFonts w:ascii="Calibri" w:hAnsi="Calibri" w:cs="Calibri"/>
              </w:rPr>
            </w:pPr>
            <w:r>
              <w:rPr>
                <w:rFonts w:cstheme="minorHAnsi"/>
              </w:rPr>
              <w:t>This update is in response to CPUC Disposition dated 2/6/2019 issued by Peter Biermayer, titled “</w:t>
            </w:r>
            <w:sdt>
              <w:sdtPr>
                <w:id w:val="-1821563595"/>
                <w:placeholder>
                  <w:docPart w:val="4E4E104BAD824B119568F7D82777EA72"/>
                </w:placeholder>
              </w:sdtPr>
              <w:sdtContent>
                <w:r>
                  <w:t xml:space="preserve">Non-standard </w:t>
                </w:r>
                <w:r w:rsidRPr="00D92278">
                  <w:t xml:space="preserve">Disposition </w:t>
                </w:r>
                <w:bookmarkStart w:id="3" w:name="_Hlk532918696"/>
                <w:r>
                  <w:t>for Submittal of P1 2019 Residential and Small Commercial Water Heaters</w:t>
                </w:r>
              </w:sdtContent>
            </w:sdt>
            <w:bookmarkEnd w:id="3"/>
            <w:r>
              <w:t>”.</w:t>
            </w:r>
          </w:p>
        </w:tc>
      </w:tr>
    </w:tbl>
    <w:p w14:paraId="10F21B4F" w14:textId="77777777" w:rsidR="002016E8" w:rsidRPr="002016E8" w:rsidRDefault="002016E8" w:rsidP="002016E8">
      <w:pPr>
        <w:spacing w:after="0" w:line="240" w:lineRule="auto"/>
        <w:rPr>
          <w:rFonts w:ascii="Calibri" w:eastAsia="Times New Roman" w:hAnsi="Calibri" w:cs="Times New Roman"/>
          <w:szCs w:val="24"/>
        </w:rPr>
      </w:pPr>
    </w:p>
    <w:p w14:paraId="330E5115" w14:textId="77777777" w:rsidR="002016E8" w:rsidRPr="002016E8" w:rsidRDefault="002016E8" w:rsidP="002016E8">
      <w:pPr>
        <w:spacing w:after="200" w:line="276" w:lineRule="auto"/>
        <w:rPr>
          <w:rFonts w:ascii="Calibri" w:eastAsia="Times New Roman" w:hAnsi="Calibri" w:cs="Times New Roman"/>
          <w:szCs w:val="24"/>
        </w:rPr>
      </w:pPr>
      <w:r w:rsidRPr="002016E8">
        <w:rPr>
          <w:rFonts w:ascii="Calibri" w:eastAsia="Times New Roman" w:hAnsi="Calibri" w:cs="Times New Roman"/>
          <w:szCs w:val="24"/>
        </w:rPr>
        <w:br w:type="page"/>
      </w:r>
    </w:p>
    <w:p w14:paraId="474972FD" w14:textId="77777777" w:rsidR="002016E8" w:rsidRPr="002016E8" w:rsidRDefault="002016E8" w:rsidP="002016E8">
      <w:pPr>
        <w:keepNext/>
        <w:spacing w:before="240" w:after="60" w:line="240" w:lineRule="auto"/>
        <w:outlineLvl w:val="1"/>
        <w:rPr>
          <w:rFonts w:ascii="Arial Narrow" w:eastAsia="Times New Roman" w:hAnsi="Arial Narrow" w:cs="Arial"/>
          <w:b/>
          <w:bCs/>
          <w:iCs/>
          <w:smallCaps/>
          <w:sz w:val="28"/>
          <w:szCs w:val="28"/>
        </w:rPr>
      </w:pPr>
      <w:r w:rsidRPr="002016E8">
        <w:rPr>
          <w:rFonts w:ascii="Arial Narrow" w:eastAsia="Times New Roman" w:hAnsi="Arial Narrow" w:cs="Arial"/>
          <w:b/>
          <w:bCs/>
          <w:iCs/>
          <w:smallCaps/>
          <w:sz w:val="28"/>
          <w:szCs w:val="28"/>
        </w:rPr>
        <w:lastRenderedPageBreak/>
        <w:t xml:space="preserve">Measure Summary </w:t>
      </w:r>
    </w:p>
    <w:p w14:paraId="67CD1E03" w14:textId="77777777" w:rsidR="002016E8" w:rsidRPr="002016E8" w:rsidRDefault="002016E8" w:rsidP="002016E8">
      <w:pPr>
        <w:spacing w:after="0" w:line="240" w:lineRule="auto"/>
        <w:rPr>
          <w:rFonts w:ascii="Calibri" w:eastAsia="Times New Roman" w:hAnsi="Calibri" w:cs="Times New Roman"/>
          <w:szCs w:val="24"/>
        </w:rPr>
      </w:pPr>
    </w:p>
    <w:p w14:paraId="43054B95" w14:textId="77777777" w:rsidR="002016E8" w:rsidRPr="002016E8" w:rsidRDefault="002016E8" w:rsidP="002016E8">
      <w:pPr>
        <w:keepNext/>
        <w:spacing w:after="0" w:line="240" w:lineRule="auto"/>
        <w:jc w:val="center"/>
        <w:rPr>
          <w:rFonts w:ascii="Calibri" w:eastAsia="Times New Roman" w:hAnsi="Calibri" w:cs="Times New Roman"/>
          <w:b/>
          <w:bCs/>
          <w:szCs w:val="3276"/>
        </w:rPr>
      </w:pPr>
      <w:r w:rsidRPr="002016E8">
        <w:rPr>
          <w:rFonts w:ascii="Calibri" w:eastAsia="Times New Roman" w:hAnsi="Calibri" w:cs="Times New Roman"/>
          <w:b/>
          <w:bCs/>
          <w:szCs w:val="3276"/>
        </w:rPr>
        <w:t xml:space="preserve">Table </w:t>
      </w:r>
      <w:r w:rsidRPr="002016E8">
        <w:rPr>
          <w:rFonts w:ascii="Calibri" w:eastAsia="Times New Roman" w:hAnsi="Calibri" w:cs="Times New Roman"/>
          <w:b/>
          <w:bCs/>
          <w:szCs w:val="3276"/>
        </w:rPr>
        <w:fldChar w:fldCharType="begin"/>
      </w:r>
      <w:r w:rsidRPr="002016E8">
        <w:rPr>
          <w:rFonts w:ascii="Calibri" w:eastAsia="Times New Roman" w:hAnsi="Calibri" w:cs="Times New Roman"/>
          <w:b/>
          <w:bCs/>
          <w:szCs w:val="3276"/>
        </w:rPr>
        <w:instrText xml:space="preserve"> SEQ Table \* ARABIC </w:instrText>
      </w:r>
      <w:r w:rsidRPr="002016E8">
        <w:rPr>
          <w:rFonts w:ascii="Calibri" w:eastAsia="Times New Roman" w:hAnsi="Calibri" w:cs="Times New Roman"/>
          <w:b/>
          <w:bCs/>
          <w:szCs w:val="3276"/>
        </w:rPr>
        <w:fldChar w:fldCharType="separate"/>
      </w:r>
      <w:r w:rsidRPr="002016E8">
        <w:rPr>
          <w:rFonts w:ascii="Calibri" w:eastAsia="Times New Roman" w:hAnsi="Calibri" w:cs="Times New Roman"/>
          <w:b/>
          <w:bCs/>
          <w:noProof/>
          <w:szCs w:val="3276"/>
        </w:rPr>
        <w:t>1</w:t>
      </w:r>
      <w:r w:rsidRPr="002016E8">
        <w:rPr>
          <w:rFonts w:ascii="Calibri" w:eastAsia="Times New Roman" w:hAnsi="Calibri" w:cs="Times New Roman"/>
          <w:b/>
          <w:bCs/>
          <w:noProof/>
          <w:szCs w:val="3276"/>
        </w:rPr>
        <w:fldChar w:fldCharType="end"/>
      </w:r>
      <w:r w:rsidRPr="002016E8">
        <w:rPr>
          <w:rFonts w:ascii="Calibri" w:eastAsia="Times New Roman" w:hAnsi="Calibri" w:cs="Times New Roman"/>
          <w:b/>
          <w:bCs/>
          <w:szCs w:val="3276"/>
        </w:rPr>
        <w:t>: Measure Summary Table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435"/>
        <w:gridCol w:w="7915"/>
      </w:tblGrid>
      <w:tr w:rsidR="002016E8" w:rsidRPr="002016E8" w14:paraId="144E3CF6" w14:textId="77777777" w:rsidTr="005F1D5A">
        <w:trPr>
          <w:cantSplit/>
          <w:tblHeader/>
        </w:trPr>
        <w:tc>
          <w:tcPr>
            <w:tcW w:w="1435" w:type="dxa"/>
          </w:tcPr>
          <w:p w14:paraId="3D315B96" w14:textId="77777777" w:rsidR="002016E8" w:rsidRPr="002016E8" w:rsidRDefault="002016E8" w:rsidP="002016E8">
            <w:pPr>
              <w:jc w:val="center"/>
              <w:rPr>
                <w:rFonts w:ascii="Calibri" w:eastAsia="Times New Roman" w:hAnsi="Calibri" w:cs="Times New Roman"/>
                <w:b/>
                <w:szCs w:val="24"/>
              </w:rPr>
            </w:pPr>
            <w:r w:rsidRPr="002016E8">
              <w:rPr>
                <w:rFonts w:ascii="Calibri" w:eastAsia="Times New Roman" w:hAnsi="Calibri" w:cs="Times New Roman"/>
                <w:b/>
                <w:szCs w:val="24"/>
              </w:rPr>
              <w:t>Section</w:t>
            </w:r>
          </w:p>
        </w:tc>
        <w:tc>
          <w:tcPr>
            <w:tcW w:w="7915" w:type="dxa"/>
          </w:tcPr>
          <w:p w14:paraId="299355C5" w14:textId="77777777" w:rsidR="002016E8" w:rsidRPr="002016E8" w:rsidRDefault="002016E8" w:rsidP="002016E8">
            <w:pPr>
              <w:jc w:val="center"/>
              <w:rPr>
                <w:rFonts w:ascii="Calibri" w:eastAsia="Times New Roman" w:hAnsi="Calibri" w:cs="Times New Roman"/>
                <w:b/>
                <w:szCs w:val="24"/>
              </w:rPr>
            </w:pPr>
            <w:r w:rsidRPr="002016E8">
              <w:rPr>
                <w:rFonts w:ascii="Calibri" w:eastAsia="Times New Roman" w:hAnsi="Calibri" w:cs="Times New Roman"/>
                <w:b/>
                <w:szCs w:val="24"/>
              </w:rPr>
              <w:t>Value</w:t>
            </w:r>
          </w:p>
        </w:tc>
      </w:tr>
      <w:tr w:rsidR="002016E8" w:rsidRPr="002016E8" w14:paraId="003A08A2" w14:textId="77777777" w:rsidTr="005F1D5A">
        <w:trPr>
          <w:cantSplit/>
        </w:trPr>
        <w:tc>
          <w:tcPr>
            <w:tcW w:w="1435" w:type="dxa"/>
            <w:vAlign w:val="center"/>
          </w:tcPr>
          <w:p w14:paraId="18856D68" w14:textId="77777777" w:rsidR="002016E8" w:rsidRPr="002016E8" w:rsidRDefault="002016E8" w:rsidP="002016E8">
            <w:pPr>
              <w:rPr>
                <w:rFonts w:ascii="Calibri" w:eastAsia="Times New Roman" w:hAnsi="Calibri" w:cs="Times New Roman"/>
                <w:b/>
                <w:szCs w:val="24"/>
              </w:rPr>
            </w:pPr>
            <w:r w:rsidRPr="002016E8">
              <w:rPr>
                <w:rFonts w:ascii="Calibri" w:eastAsia="Times New Roman" w:hAnsi="Calibri" w:cs="Times New Roman"/>
                <w:b/>
                <w:szCs w:val="24"/>
              </w:rPr>
              <w:t>Summary &amp; Purpose</w:t>
            </w:r>
          </w:p>
        </w:tc>
        <w:tc>
          <w:tcPr>
            <w:tcW w:w="7915" w:type="dxa"/>
          </w:tcPr>
          <w:p w14:paraId="51C2DF8F" w14:textId="78F587B1" w:rsidR="004354F4" w:rsidRPr="004354F4" w:rsidRDefault="002016E8" w:rsidP="004354F4">
            <w:pPr>
              <w:rPr>
                <w:rFonts w:ascii="Calibri" w:eastAsia="Times New Roman" w:hAnsi="Calibri" w:cs="Calibri"/>
                <w:sz w:val="20"/>
                <w:szCs w:val="20"/>
              </w:rPr>
            </w:pPr>
            <w:r w:rsidRPr="002016E8">
              <w:rPr>
                <w:rFonts w:ascii="Calibri" w:eastAsia="Times New Roman" w:hAnsi="Calibri" w:cs="Times New Roman"/>
                <w:sz w:val="20"/>
                <w:szCs w:val="20"/>
              </w:rPr>
              <w:t>The short form workpaper documen</w:t>
            </w:r>
            <w:r w:rsidR="004354F4">
              <w:rPr>
                <w:rFonts w:ascii="Calibri" w:eastAsia="Times New Roman" w:hAnsi="Calibri" w:cs="Times New Roman"/>
                <w:sz w:val="20"/>
                <w:szCs w:val="20"/>
              </w:rPr>
              <w:t>ts</w:t>
            </w:r>
            <w:r w:rsidR="004354F4" w:rsidRPr="004354F4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r w:rsidR="00A83A58">
              <w:rPr>
                <w:rFonts w:ascii="Calibri" w:eastAsia="Times New Roman" w:hAnsi="Calibri" w:cs="Calibri"/>
                <w:sz w:val="20"/>
                <w:szCs w:val="20"/>
              </w:rPr>
              <w:t xml:space="preserve">the adoption of </w:t>
            </w:r>
            <w:r w:rsidR="004354F4" w:rsidRPr="004354F4">
              <w:rPr>
                <w:rFonts w:ascii="Calibri" w:eastAsia="Times New Roman" w:hAnsi="Calibri" w:cs="Calibri"/>
                <w:sz w:val="20"/>
                <w:szCs w:val="20"/>
              </w:rPr>
              <w:t xml:space="preserve">new </w:t>
            </w:r>
            <w:r w:rsidR="00B15019">
              <w:rPr>
                <w:rFonts w:ascii="Calibri" w:eastAsia="Times New Roman" w:hAnsi="Calibri" w:cs="Calibri"/>
                <w:sz w:val="20"/>
                <w:szCs w:val="20"/>
              </w:rPr>
              <w:t xml:space="preserve">residential gas instantaneous </w:t>
            </w:r>
            <w:r w:rsidR="004354F4" w:rsidRPr="004354F4">
              <w:rPr>
                <w:rFonts w:ascii="Calibri" w:eastAsia="Times New Roman" w:hAnsi="Calibri" w:cs="Calibri"/>
                <w:sz w:val="20"/>
                <w:szCs w:val="20"/>
              </w:rPr>
              <w:t>DEER</w:t>
            </w:r>
            <w:r w:rsidR="009C0062">
              <w:rPr>
                <w:rFonts w:ascii="Calibri" w:eastAsia="Times New Roman" w:hAnsi="Calibri" w:cs="Calibri"/>
                <w:sz w:val="20"/>
                <w:szCs w:val="20"/>
              </w:rPr>
              <w:t xml:space="preserve"> water heater</w:t>
            </w:r>
            <w:r w:rsidR="004354F4" w:rsidRPr="004354F4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r w:rsidR="00A83A58">
              <w:rPr>
                <w:rFonts w:ascii="Calibri" w:eastAsia="Times New Roman" w:hAnsi="Calibri" w:cs="Calibri"/>
                <w:sz w:val="20"/>
                <w:szCs w:val="20"/>
              </w:rPr>
              <w:t xml:space="preserve">Measures </w:t>
            </w:r>
            <w:r w:rsidR="004354F4" w:rsidRPr="004354F4">
              <w:rPr>
                <w:rFonts w:ascii="Calibri" w:eastAsia="Times New Roman" w:hAnsi="Calibri" w:cs="Calibri"/>
                <w:sz w:val="20"/>
                <w:szCs w:val="20"/>
              </w:rPr>
              <w:t xml:space="preserve">IDs </w:t>
            </w:r>
            <w:r w:rsidR="009C0062">
              <w:rPr>
                <w:rFonts w:ascii="Calibri" w:eastAsia="Times New Roman" w:hAnsi="Calibri" w:cs="Calibri"/>
                <w:sz w:val="20"/>
                <w:szCs w:val="20"/>
              </w:rPr>
              <w:t xml:space="preserve">with </w:t>
            </w:r>
            <w:r w:rsidR="00A83A58">
              <w:rPr>
                <w:rFonts w:ascii="Calibri" w:eastAsia="Times New Roman" w:hAnsi="Calibri" w:cs="Calibri"/>
                <w:sz w:val="20"/>
                <w:szCs w:val="20"/>
              </w:rPr>
              <w:t xml:space="preserve">a start date of 1/1/2019 </w:t>
            </w:r>
            <w:r w:rsidR="004354F4" w:rsidRPr="004354F4">
              <w:rPr>
                <w:rFonts w:ascii="Calibri" w:eastAsia="Times New Roman" w:hAnsi="Calibri" w:cs="Calibri"/>
                <w:sz w:val="20"/>
                <w:szCs w:val="20"/>
              </w:rPr>
              <w:t>that capture the EF to UEF conversion</w:t>
            </w:r>
            <w:r w:rsidR="00A83A58">
              <w:rPr>
                <w:rFonts w:ascii="Calibri" w:eastAsia="Times New Roman" w:hAnsi="Calibri" w:cs="Calibri"/>
                <w:sz w:val="20"/>
                <w:szCs w:val="20"/>
              </w:rPr>
              <w:t xml:space="preserve"> and based on the latest revision of the </w:t>
            </w:r>
            <w:r w:rsidR="00CE143C">
              <w:rPr>
                <w:rFonts w:ascii="Calibri" w:eastAsia="Times New Roman" w:hAnsi="Calibri" w:cs="Calibri"/>
                <w:sz w:val="20"/>
                <w:szCs w:val="20"/>
              </w:rPr>
              <w:t>DEER 2019 Water Heating Calculator</w:t>
            </w:r>
            <w:r w:rsidR="004354F4" w:rsidRPr="004354F4">
              <w:rPr>
                <w:rFonts w:ascii="Calibri" w:eastAsia="Times New Roman" w:hAnsi="Calibri" w:cs="Calibri"/>
                <w:sz w:val="20"/>
                <w:szCs w:val="20"/>
              </w:rPr>
              <w:t>.  The costs were adopted from SCG’s WPSCGREWH120919A-Rev4.</w:t>
            </w:r>
          </w:p>
          <w:p w14:paraId="3C07544E" w14:textId="77777777" w:rsidR="002016E8" w:rsidRPr="002016E8" w:rsidRDefault="002016E8" w:rsidP="002016E8">
            <w:pPr>
              <w:jc w:val="both"/>
              <w:rPr>
                <w:rFonts w:ascii="Calibri" w:eastAsia="Times New Roman" w:hAnsi="Calibri" w:cs="Arial"/>
                <w:sz w:val="20"/>
                <w:szCs w:val="20"/>
              </w:rPr>
            </w:pPr>
            <w:bookmarkStart w:id="4" w:name="_GoBack"/>
            <w:bookmarkEnd w:id="4"/>
          </w:p>
        </w:tc>
      </w:tr>
      <w:tr w:rsidR="002016E8" w:rsidRPr="002016E8" w14:paraId="74194B4C" w14:textId="77777777" w:rsidTr="005F1D5A">
        <w:trPr>
          <w:cantSplit/>
        </w:trPr>
        <w:tc>
          <w:tcPr>
            <w:tcW w:w="9350" w:type="dxa"/>
            <w:gridSpan w:val="2"/>
            <w:vAlign w:val="center"/>
          </w:tcPr>
          <w:p w14:paraId="4D69EF97" w14:textId="77777777" w:rsidR="002016E8" w:rsidRPr="002016E8" w:rsidRDefault="002016E8" w:rsidP="002016E8">
            <w:pPr>
              <w:rPr>
                <w:rFonts w:ascii="Calibri" w:eastAsia="Times New Roman" w:hAnsi="Calibri" w:cs="Arial"/>
                <w:sz w:val="20"/>
                <w:szCs w:val="20"/>
              </w:rPr>
            </w:pPr>
            <w:r w:rsidRPr="002016E8">
              <w:rPr>
                <w:rFonts w:ascii="Calibri" w:eastAsia="Times New Roman" w:hAnsi="Calibri" w:cs="Times New Roman"/>
                <w:b/>
                <w:szCs w:val="24"/>
              </w:rPr>
              <w:t>1.1 Measure &amp; Baseline Data</w:t>
            </w:r>
          </w:p>
        </w:tc>
      </w:tr>
      <w:tr w:rsidR="002016E8" w:rsidRPr="002016E8" w14:paraId="0C5FF457" w14:textId="77777777" w:rsidTr="005F1D5A">
        <w:trPr>
          <w:cantSplit/>
        </w:trPr>
        <w:tc>
          <w:tcPr>
            <w:tcW w:w="1435" w:type="dxa"/>
            <w:vAlign w:val="center"/>
          </w:tcPr>
          <w:p w14:paraId="096A89DD" w14:textId="77777777" w:rsidR="002016E8" w:rsidRPr="002016E8" w:rsidRDefault="002016E8" w:rsidP="002016E8">
            <w:pPr>
              <w:rPr>
                <w:rFonts w:ascii="Calibri" w:eastAsia="Times New Roman" w:hAnsi="Calibri" w:cs="Times New Roman"/>
                <w:b/>
                <w:szCs w:val="24"/>
              </w:rPr>
            </w:pPr>
            <w:r w:rsidRPr="002016E8">
              <w:rPr>
                <w:rFonts w:ascii="Calibri" w:eastAsia="Times New Roman" w:hAnsi="Calibri" w:cs="Times New Roman"/>
                <w:b/>
                <w:szCs w:val="24"/>
              </w:rPr>
              <w:t xml:space="preserve">1.2 Technical Description </w:t>
            </w:r>
          </w:p>
        </w:tc>
        <w:tc>
          <w:tcPr>
            <w:tcW w:w="7915" w:type="dxa"/>
          </w:tcPr>
          <w:p w14:paraId="5737A273" w14:textId="77777777" w:rsidR="002016E8" w:rsidRPr="002016E8" w:rsidRDefault="00845AD0" w:rsidP="002016E8">
            <w:pPr>
              <w:spacing w:before="40" w:after="4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845AD0">
              <w:rPr>
                <w:rFonts w:ascii="Calibri" w:eastAsia="Times New Roman" w:hAnsi="Calibri" w:cs="Calibri"/>
                <w:sz w:val="20"/>
                <w:szCs w:val="20"/>
              </w:rPr>
              <w:t xml:space="preserve">Please reference WPSCGREWH120919A-Rev4 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Section 1.2 Technical Description</w:t>
            </w:r>
          </w:p>
        </w:tc>
      </w:tr>
      <w:tr w:rsidR="002016E8" w:rsidRPr="002016E8" w14:paraId="2B667FB0" w14:textId="77777777" w:rsidTr="005F1D5A">
        <w:trPr>
          <w:cantSplit/>
        </w:trPr>
        <w:tc>
          <w:tcPr>
            <w:tcW w:w="1435" w:type="dxa"/>
          </w:tcPr>
          <w:p w14:paraId="582D69EC" w14:textId="77777777" w:rsidR="002016E8" w:rsidRPr="002016E8" w:rsidRDefault="002016E8" w:rsidP="002016E8">
            <w:pPr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2016E8">
              <w:rPr>
                <w:rFonts w:ascii="Calibri" w:eastAsia="Times New Roman" w:hAnsi="Calibri" w:cs="Calibri"/>
                <w:sz w:val="20"/>
                <w:szCs w:val="20"/>
              </w:rPr>
              <w:lastRenderedPageBreak/>
              <w:t>Measures</w:t>
            </w:r>
          </w:p>
        </w:tc>
        <w:tc>
          <w:tcPr>
            <w:tcW w:w="7915" w:type="dxa"/>
          </w:tcPr>
          <w:p w14:paraId="6145650A" w14:textId="33F67F12" w:rsidR="002016E8" w:rsidRDefault="006D0D98" w:rsidP="002016E8">
            <w:pPr>
              <w:rPr>
                <w:rFonts w:ascii="Calibri" w:eastAsia="Times New Roman" w:hAnsi="Calibri" w:cs="Calibri"/>
                <w:sz w:val="20"/>
                <w:szCs w:val="20"/>
              </w:rPr>
            </w:pPr>
            <w:r w:rsidRPr="006D0D98">
              <w:rPr>
                <w:rFonts w:ascii="Calibri" w:eastAsia="Times New Roman" w:hAnsi="Calibri" w:cs="Calibri"/>
                <w:sz w:val="20"/>
                <w:szCs w:val="20"/>
              </w:rPr>
              <w:t xml:space="preserve">Energy Savings for the measures included in this workpaper references DEER </w:t>
            </w:r>
            <w:r w:rsidR="00CE143C">
              <w:rPr>
                <w:rFonts w:ascii="Calibri" w:eastAsia="Times New Roman" w:hAnsi="Calibri" w:cs="Calibri"/>
                <w:sz w:val="20"/>
                <w:szCs w:val="20"/>
              </w:rPr>
              <w:t xml:space="preserve">Measure </w:t>
            </w:r>
            <w:r w:rsidRPr="006D0D98">
              <w:rPr>
                <w:rFonts w:ascii="Calibri" w:eastAsia="Times New Roman" w:hAnsi="Calibri" w:cs="Calibri"/>
                <w:sz w:val="20"/>
                <w:szCs w:val="20"/>
              </w:rPr>
              <w:t>IDs</w:t>
            </w:r>
            <w:r w:rsidR="00CE143C">
              <w:rPr>
                <w:rFonts w:ascii="Calibri" w:eastAsia="Times New Roman" w:hAnsi="Calibri" w:cs="Calibri"/>
                <w:sz w:val="20"/>
                <w:szCs w:val="20"/>
              </w:rPr>
              <w:t xml:space="preserve"> and Impacts that will be used for 2019 with a start date of 1/1/2019</w:t>
            </w:r>
            <w:r w:rsidRPr="006D0D98">
              <w:rPr>
                <w:rFonts w:ascii="Calibri" w:eastAsia="Times New Roman" w:hAnsi="Calibri" w:cs="Calibri"/>
                <w:sz w:val="20"/>
                <w:szCs w:val="20"/>
              </w:rPr>
              <w:t>.</w:t>
            </w:r>
          </w:p>
          <w:p w14:paraId="3E421676" w14:textId="77777777" w:rsidR="006D0D98" w:rsidRDefault="006D0D98" w:rsidP="002016E8">
            <w:pPr>
              <w:rPr>
                <w:rFonts w:ascii="Calibri" w:eastAsia="Times New Roman" w:hAnsi="Calibri" w:cs="Calibri"/>
                <w:sz w:val="20"/>
                <w:szCs w:val="20"/>
              </w:rPr>
            </w:pPr>
          </w:p>
          <w:tbl>
            <w:tblPr>
              <w:tblStyle w:val="TableGrid"/>
              <w:tblW w:w="4274" w:type="pct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1664"/>
              <w:gridCol w:w="1244"/>
              <w:gridCol w:w="1246"/>
              <w:gridCol w:w="2419"/>
            </w:tblGrid>
            <w:tr w:rsidR="003D7DF8" w:rsidRPr="00A92029" w14:paraId="1758540F" w14:textId="77777777" w:rsidTr="005F1D5A">
              <w:trPr>
                <w:trHeight w:val="251"/>
                <w:jc w:val="center"/>
              </w:trPr>
              <w:tc>
                <w:tcPr>
                  <w:tcW w:w="1266" w:type="pct"/>
                  <w:vAlign w:val="center"/>
                </w:tcPr>
                <w:p w14:paraId="086480F1" w14:textId="77777777" w:rsidR="003D7DF8" w:rsidRPr="00A92029" w:rsidRDefault="003D7DF8" w:rsidP="003D7DF8">
                  <w:pPr>
                    <w:jc w:val="center"/>
                    <w:rPr>
                      <w:rFonts w:cstheme="minorHAnsi"/>
                      <w:b/>
                      <w:sz w:val="20"/>
                      <w:szCs w:val="20"/>
                    </w:rPr>
                  </w:pPr>
                  <w:r w:rsidRPr="00A92029">
                    <w:rPr>
                      <w:rFonts w:cstheme="minorHAnsi"/>
                      <w:b/>
                      <w:sz w:val="20"/>
                      <w:szCs w:val="20"/>
                    </w:rPr>
                    <w:t>Implementation ID.</w:t>
                  </w:r>
                </w:p>
              </w:tc>
              <w:tc>
                <w:tcPr>
                  <w:tcW w:w="946" w:type="pct"/>
                  <w:vAlign w:val="center"/>
                </w:tcPr>
                <w:p w14:paraId="12B34963" w14:textId="77777777" w:rsidR="003D7DF8" w:rsidRPr="00A92029" w:rsidRDefault="003D7DF8" w:rsidP="003D7DF8">
                  <w:pPr>
                    <w:jc w:val="center"/>
                    <w:rPr>
                      <w:rFonts w:cstheme="minorHAnsi"/>
                      <w:b/>
                      <w:sz w:val="20"/>
                      <w:szCs w:val="20"/>
                    </w:rPr>
                  </w:pPr>
                  <w:r w:rsidRPr="00A92029">
                    <w:rPr>
                      <w:rFonts w:cstheme="minorHAnsi"/>
                      <w:b/>
                      <w:sz w:val="20"/>
                      <w:szCs w:val="20"/>
                    </w:rPr>
                    <w:t>Measure Description</w:t>
                  </w:r>
                </w:p>
              </w:tc>
              <w:tc>
                <w:tcPr>
                  <w:tcW w:w="948" w:type="pct"/>
                  <w:vAlign w:val="center"/>
                </w:tcPr>
                <w:p w14:paraId="03131869" w14:textId="77777777" w:rsidR="003D7DF8" w:rsidRPr="00A92029" w:rsidRDefault="003D7DF8" w:rsidP="003D7DF8">
                  <w:pPr>
                    <w:jc w:val="center"/>
                    <w:rPr>
                      <w:rFonts w:cstheme="minorHAnsi"/>
                      <w:b/>
                      <w:sz w:val="20"/>
                      <w:szCs w:val="20"/>
                    </w:rPr>
                  </w:pPr>
                  <w:r w:rsidRPr="00A92029">
                    <w:rPr>
                      <w:rFonts w:cstheme="minorHAnsi"/>
                      <w:b/>
                      <w:sz w:val="20"/>
                      <w:szCs w:val="20"/>
                    </w:rPr>
                    <w:t>DEER Measure ID</w:t>
                  </w:r>
                </w:p>
              </w:tc>
              <w:tc>
                <w:tcPr>
                  <w:tcW w:w="1840" w:type="pct"/>
                  <w:vAlign w:val="center"/>
                </w:tcPr>
                <w:p w14:paraId="0E9C2587" w14:textId="77777777" w:rsidR="003D7DF8" w:rsidRPr="00A92029" w:rsidRDefault="003D7DF8" w:rsidP="003D7DF8">
                  <w:pPr>
                    <w:jc w:val="center"/>
                    <w:rPr>
                      <w:rFonts w:cstheme="minorHAnsi"/>
                      <w:b/>
                      <w:sz w:val="20"/>
                      <w:szCs w:val="20"/>
                    </w:rPr>
                  </w:pPr>
                  <w:r w:rsidRPr="00A92029">
                    <w:rPr>
                      <w:rFonts w:cstheme="minorHAnsi"/>
                      <w:b/>
                      <w:sz w:val="20"/>
                      <w:szCs w:val="20"/>
                    </w:rPr>
                    <w:t>Delivery Type</w:t>
                  </w:r>
                </w:p>
              </w:tc>
            </w:tr>
            <w:tr w:rsidR="003D7DF8" w:rsidRPr="00A92029" w14:paraId="3F7C58BB" w14:textId="77777777" w:rsidTr="005F1D5A">
              <w:trPr>
                <w:jc w:val="center"/>
              </w:trPr>
              <w:tc>
                <w:tcPr>
                  <w:tcW w:w="1266" w:type="pct"/>
                  <w:vAlign w:val="center"/>
                </w:tcPr>
                <w:p w14:paraId="329D8DC7" w14:textId="77777777" w:rsidR="003D7DF8" w:rsidRPr="00A92029" w:rsidRDefault="003D7DF8" w:rsidP="003D7DF8">
                  <w:pPr>
                    <w:jc w:val="center"/>
                    <w:rPr>
                      <w:rFonts w:cstheme="minorHAnsi"/>
                      <w:sz w:val="20"/>
                      <w:szCs w:val="20"/>
                    </w:rPr>
                  </w:pPr>
                  <w:r>
                    <w:rPr>
                      <w:rFonts w:cstheme="minorHAnsi"/>
                      <w:sz w:val="20"/>
                      <w:szCs w:val="20"/>
                    </w:rPr>
                    <w:t>465969</w:t>
                  </w:r>
                </w:p>
              </w:tc>
              <w:tc>
                <w:tcPr>
                  <w:tcW w:w="946" w:type="pct"/>
                  <w:vAlign w:val="center"/>
                </w:tcPr>
                <w:p w14:paraId="6154EC53" w14:textId="77777777" w:rsidR="003D7DF8" w:rsidRPr="00A92029" w:rsidRDefault="003D7DF8" w:rsidP="003D7DF8">
                  <w:pPr>
                    <w:rPr>
                      <w:rFonts w:cstheme="minorHAnsi"/>
                      <w:sz w:val="20"/>
                      <w:szCs w:val="20"/>
                    </w:rPr>
                  </w:pPr>
                  <w:r w:rsidRPr="003D7DF8">
                    <w:rPr>
                      <w:rFonts w:cstheme="minorHAnsi"/>
                      <w:sz w:val="20"/>
                      <w:szCs w:val="20"/>
                    </w:rPr>
                    <w:t>Small Tankless Water Heater, Tier 1 (UEF&gt;=0.81), Low Draw</w:t>
                  </w:r>
                </w:p>
              </w:tc>
              <w:tc>
                <w:tcPr>
                  <w:tcW w:w="948" w:type="pct"/>
                  <w:vAlign w:val="center"/>
                </w:tcPr>
                <w:p w14:paraId="11FB0E9C" w14:textId="77777777" w:rsidR="003D7DF8" w:rsidRPr="00A92029" w:rsidRDefault="003D7DF8" w:rsidP="003D7DF8">
                  <w:pPr>
                    <w:rPr>
                      <w:rFonts w:cstheme="minorHAnsi"/>
                      <w:color w:val="000000"/>
                      <w:sz w:val="20"/>
                      <w:szCs w:val="20"/>
                    </w:rPr>
                  </w:pPr>
                  <w:r w:rsidRPr="003D7DF8">
                    <w:rPr>
                      <w:rFonts w:cstheme="minorHAnsi"/>
                      <w:color w:val="000000"/>
                      <w:sz w:val="20"/>
                      <w:szCs w:val="20"/>
                    </w:rPr>
                    <w:t>Inst_UEF-Gas-175kBtuh-LW-0p81UEF</w:t>
                  </w:r>
                </w:p>
              </w:tc>
              <w:tc>
                <w:tcPr>
                  <w:tcW w:w="1840" w:type="pct"/>
                  <w:vAlign w:val="center"/>
                </w:tcPr>
                <w:p w14:paraId="676C4412" w14:textId="77777777" w:rsidR="003D7DF8" w:rsidRPr="00A92029" w:rsidRDefault="003D7DF8" w:rsidP="003D7DF8">
                  <w:pPr>
                    <w:jc w:val="center"/>
                    <w:rPr>
                      <w:rFonts w:cstheme="minorHAnsi"/>
                      <w:color w:val="000000"/>
                      <w:sz w:val="20"/>
                      <w:szCs w:val="20"/>
                    </w:rPr>
                  </w:pPr>
                  <w:proofErr w:type="spellStart"/>
                  <w:r w:rsidRPr="00A92029">
                    <w:rPr>
                      <w:rFonts w:cstheme="minorHAnsi"/>
                      <w:color w:val="000000"/>
                      <w:sz w:val="20"/>
                      <w:szCs w:val="20"/>
                    </w:rPr>
                    <w:t>PreRebDown</w:t>
                  </w:r>
                  <w:proofErr w:type="spellEnd"/>
                  <w:r>
                    <w:rPr>
                      <w:rFonts w:cstheme="minorHAnsi"/>
                      <w:color w:val="000000"/>
                      <w:sz w:val="20"/>
                      <w:szCs w:val="20"/>
                    </w:rPr>
                    <w:t>/</w:t>
                  </w:r>
                  <w:proofErr w:type="spellStart"/>
                  <w:r>
                    <w:rPr>
                      <w:rFonts w:cstheme="minorHAnsi"/>
                      <w:color w:val="000000"/>
                      <w:sz w:val="20"/>
                      <w:szCs w:val="20"/>
                    </w:rPr>
                    <w:t>DnDeemed</w:t>
                  </w:r>
                  <w:proofErr w:type="spellEnd"/>
                </w:p>
              </w:tc>
            </w:tr>
            <w:tr w:rsidR="003D7DF8" w:rsidRPr="00A92029" w14:paraId="2F6BBB66" w14:textId="77777777" w:rsidTr="005F1D5A">
              <w:trPr>
                <w:jc w:val="center"/>
              </w:trPr>
              <w:tc>
                <w:tcPr>
                  <w:tcW w:w="1266" w:type="pct"/>
                  <w:vAlign w:val="center"/>
                </w:tcPr>
                <w:p w14:paraId="2064D0E2" w14:textId="77777777" w:rsidR="003D7DF8" w:rsidRPr="00A92029" w:rsidRDefault="003D7DF8" w:rsidP="003D7DF8">
                  <w:pPr>
                    <w:jc w:val="center"/>
                    <w:rPr>
                      <w:rFonts w:cstheme="minorHAnsi"/>
                      <w:sz w:val="20"/>
                      <w:szCs w:val="20"/>
                    </w:rPr>
                  </w:pPr>
                  <w:r>
                    <w:rPr>
                      <w:rFonts w:cstheme="minorHAnsi"/>
                      <w:sz w:val="20"/>
                      <w:szCs w:val="20"/>
                    </w:rPr>
                    <w:t>465970</w:t>
                  </w:r>
                </w:p>
              </w:tc>
              <w:tc>
                <w:tcPr>
                  <w:tcW w:w="946" w:type="pct"/>
                  <w:vAlign w:val="center"/>
                </w:tcPr>
                <w:p w14:paraId="56AE2480" w14:textId="77777777" w:rsidR="003D7DF8" w:rsidRPr="00A92029" w:rsidRDefault="003D7DF8" w:rsidP="003D7DF8">
                  <w:pPr>
                    <w:rPr>
                      <w:rFonts w:cstheme="minorHAnsi"/>
                      <w:sz w:val="20"/>
                      <w:szCs w:val="20"/>
                    </w:rPr>
                  </w:pPr>
                  <w:r w:rsidRPr="003D7DF8">
                    <w:rPr>
                      <w:rFonts w:cstheme="minorHAnsi"/>
                      <w:sz w:val="20"/>
                      <w:szCs w:val="20"/>
                    </w:rPr>
                    <w:t>Small Tankless Water Heater, Tier 1 (UEF&gt;=0.81), Medium Draw</w:t>
                  </w:r>
                </w:p>
              </w:tc>
              <w:tc>
                <w:tcPr>
                  <w:tcW w:w="948" w:type="pct"/>
                  <w:vAlign w:val="center"/>
                </w:tcPr>
                <w:p w14:paraId="71BB1764" w14:textId="77777777" w:rsidR="003D7DF8" w:rsidRPr="00A92029" w:rsidRDefault="003D7DF8" w:rsidP="003D7DF8">
                  <w:pPr>
                    <w:rPr>
                      <w:rFonts w:cstheme="minorHAnsi"/>
                      <w:color w:val="000000"/>
                      <w:sz w:val="20"/>
                      <w:szCs w:val="20"/>
                    </w:rPr>
                  </w:pPr>
                  <w:r w:rsidRPr="003D7DF8">
                    <w:rPr>
                      <w:rFonts w:cstheme="minorHAnsi"/>
                      <w:color w:val="000000"/>
                      <w:sz w:val="20"/>
                      <w:szCs w:val="20"/>
                    </w:rPr>
                    <w:t>Inst_UEF-Gas-175kBtuh-MD-0p81UEF</w:t>
                  </w:r>
                </w:p>
              </w:tc>
              <w:tc>
                <w:tcPr>
                  <w:tcW w:w="1840" w:type="pct"/>
                  <w:vAlign w:val="center"/>
                </w:tcPr>
                <w:p w14:paraId="317D4FD0" w14:textId="77777777" w:rsidR="003D7DF8" w:rsidRPr="00A92029" w:rsidRDefault="003D7DF8" w:rsidP="003D7DF8">
                  <w:pPr>
                    <w:jc w:val="center"/>
                    <w:rPr>
                      <w:rFonts w:cstheme="minorHAnsi"/>
                      <w:color w:val="000000"/>
                      <w:sz w:val="20"/>
                      <w:szCs w:val="20"/>
                    </w:rPr>
                  </w:pPr>
                  <w:proofErr w:type="spellStart"/>
                  <w:r w:rsidRPr="00A92029">
                    <w:rPr>
                      <w:rFonts w:cstheme="minorHAnsi"/>
                      <w:color w:val="000000"/>
                      <w:sz w:val="20"/>
                      <w:szCs w:val="20"/>
                    </w:rPr>
                    <w:t>PreRebDown</w:t>
                  </w:r>
                  <w:proofErr w:type="spellEnd"/>
                  <w:r>
                    <w:rPr>
                      <w:rFonts w:cstheme="minorHAnsi"/>
                      <w:color w:val="000000"/>
                      <w:sz w:val="20"/>
                      <w:szCs w:val="20"/>
                    </w:rPr>
                    <w:t>/</w:t>
                  </w:r>
                  <w:proofErr w:type="spellStart"/>
                  <w:r>
                    <w:rPr>
                      <w:rFonts w:cstheme="minorHAnsi"/>
                      <w:color w:val="000000"/>
                      <w:sz w:val="20"/>
                      <w:szCs w:val="20"/>
                    </w:rPr>
                    <w:t>DnDeemed</w:t>
                  </w:r>
                  <w:proofErr w:type="spellEnd"/>
                </w:p>
              </w:tc>
            </w:tr>
            <w:tr w:rsidR="003D7DF8" w:rsidRPr="00A92029" w14:paraId="2C7DC49F" w14:textId="77777777" w:rsidTr="005F1D5A">
              <w:trPr>
                <w:jc w:val="center"/>
              </w:trPr>
              <w:tc>
                <w:tcPr>
                  <w:tcW w:w="1266" w:type="pct"/>
                  <w:vAlign w:val="center"/>
                </w:tcPr>
                <w:p w14:paraId="530113EA" w14:textId="77777777" w:rsidR="003D7DF8" w:rsidRPr="00A92029" w:rsidRDefault="003D7DF8" w:rsidP="003D7DF8">
                  <w:pPr>
                    <w:jc w:val="center"/>
                    <w:rPr>
                      <w:rFonts w:cstheme="minorHAnsi"/>
                      <w:sz w:val="20"/>
                      <w:szCs w:val="20"/>
                    </w:rPr>
                  </w:pPr>
                  <w:r>
                    <w:rPr>
                      <w:rFonts w:cstheme="minorHAnsi"/>
                      <w:sz w:val="20"/>
                      <w:szCs w:val="20"/>
                    </w:rPr>
                    <w:t>465971</w:t>
                  </w:r>
                </w:p>
              </w:tc>
              <w:tc>
                <w:tcPr>
                  <w:tcW w:w="946" w:type="pct"/>
                  <w:vAlign w:val="center"/>
                </w:tcPr>
                <w:p w14:paraId="6B65EC5E" w14:textId="77777777" w:rsidR="003D7DF8" w:rsidRPr="00A92029" w:rsidRDefault="003D7DF8" w:rsidP="003D7DF8">
                  <w:pPr>
                    <w:rPr>
                      <w:rFonts w:cstheme="minorHAnsi"/>
                      <w:sz w:val="20"/>
                      <w:szCs w:val="20"/>
                    </w:rPr>
                  </w:pPr>
                  <w:r w:rsidRPr="003D7DF8">
                    <w:rPr>
                      <w:rFonts w:cstheme="minorHAnsi"/>
                      <w:sz w:val="20"/>
                      <w:szCs w:val="20"/>
                    </w:rPr>
                    <w:t>Small Tankless Water Heater, Tier 1 (UEF&gt;=0.81), High Draw</w:t>
                  </w:r>
                </w:p>
              </w:tc>
              <w:tc>
                <w:tcPr>
                  <w:tcW w:w="948" w:type="pct"/>
                  <w:vAlign w:val="center"/>
                </w:tcPr>
                <w:p w14:paraId="4029D5B9" w14:textId="77777777" w:rsidR="003D7DF8" w:rsidRPr="00A92029" w:rsidRDefault="00EA5ECA" w:rsidP="003D7DF8">
                  <w:pPr>
                    <w:rPr>
                      <w:rFonts w:cstheme="minorHAnsi"/>
                      <w:color w:val="000000"/>
                      <w:sz w:val="20"/>
                      <w:szCs w:val="20"/>
                    </w:rPr>
                  </w:pPr>
                  <w:r w:rsidRPr="00EA5ECA">
                    <w:rPr>
                      <w:rFonts w:cstheme="minorHAnsi"/>
                      <w:color w:val="000000"/>
                      <w:sz w:val="20"/>
                      <w:szCs w:val="20"/>
                    </w:rPr>
                    <w:t>Inst_UEF-Gas-175kBtuh-HI-0p81UEF</w:t>
                  </w:r>
                </w:p>
              </w:tc>
              <w:tc>
                <w:tcPr>
                  <w:tcW w:w="1840" w:type="pct"/>
                  <w:vAlign w:val="center"/>
                </w:tcPr>
                <w:p w14:paraId="1FF8F28D" w14:textId="77777777" w:rsidR="003D7DF8" w:rsidRPr="00A92029" w:rsidRDefault="003D7DF8" w:rsidP="003D7DF8">
                  <w:pPr>
                    <w:jc w:val="center"/>
                    <w:rPr>
                      <w:rFonts w:cstheme="minorHAnsi"/>
                      <w:color w:val="000000"/>
                      <w:sz w:val="20"/>
                      <w:szCs w:val="20"/>
                    </w:rPr>
                  </w:pPr>
                  <w:proofErr w:type="spellStart"/>
                  <w:r w:rsidRPr="00A92029">
                    <w:rPr>
                      <w:rFonts w:cstheme="minorHAnsi"/>
                      <w:color w:val="000000"/>
                      <w:sz w:val="20"/>
                      <w:szCs w:val="20"/>
                    </w:rPr>
                    <w:t>PreRebDown</w:t>
                  </w:r>
                  <w:proofErr w:type="spellEnd"/>
                  <w:r>
                    <w:rPr>
                      <w:rFonts w:cstheme="minorHAnsi"/>
                      <w:color w:val="000000"/>
                      <w:sz w:val="20"/>
                      <w:szCs w:val="20"/>
                    </w:rPr>
                    <w:t>/</w:t>
                  </w:r>
                  <w:proofErr w:type="spellStart"/>
                  <w:r>
                    <w:rPr>
                      <w:rFonts w:cstheme="minorHAnsi"/>
                      <w:color w:val="000000"/>
                      <w:sz w:val="20"/>
                      <w:szCs w:val="20"/>
                    </w:rPr>
                    <w:t>DnDeemed</w:t>
                  </w:r>
                  <w:proofErr w:type="spellEnd"/>
                </w:p>
              </w:tc>
            </w:tr>
            <w:tr w:rsidR="003D7DF8" w:rsidRPr="00A92029" w14:paraId="4E099A54" w14:textId="77777777" w:rsidTr="005F1D5A">
              <w:trPr>
                <w:jc w:val="center"/>
              </w:trPr>
              <w:tc>
                <w:tcPr>
                  <w:tcW w:w="1266" w:type="pct"/>
                  <w:vAlign w:val="center"/>
                </w:tcPr>
                <w:p w14:paraId="6FECC07B" w14:textId="77777777" w:rsidR="003D7DF8" w:rsidRPr="00A92029" w:rsidRDefault="003D7DF8" w:rsidP="003D7DF8">
                  <w:pPr>
                    <w:jc w:val="center"/>
                    <w:rPr>
                      <w:rFonts w:cstheme="minorHAnsi"/>
                      <w:sz w:val="20"/>
                      <w:szCs w:val="20"/>
                    </w:rPr>
                  </w:pPr>
                  <w:r>
                    <w:rPr>
                      <w:rFonts w:cstheme="minorHAnsi"/>
                      <w:sz w:val="20"/>
                      <w:szCs w:val="20"/>
                    </w:rPr>
                    <w:t>465972</w:t>
                  </w:r>
                </w:p>
              </w:tc>
              <w:tc>
                <w:tcPr>
                  <w:tcW w:w="946" w:type="pct"/>
                  <w:vAlign w:val="center"/>
                </w:tcPr>
                <w:p w14:paraId="68A11BC7" w14:textId="77777777" w:rsidR="003D7DF8" w:rsidRPr="00A92029" w:rsidRDefault="003D7DF8" w:rsidP="003D7DF8">
                  <w:pPr>
                    <w:rPr>
                      <w:rFonts w:cstheme="minorHAnsi"/>
                      <w:sz w:val="20"/>
                      <w:szCs w:val="20"/>
                    </w:rPr>
                  </w:pPr>
                  <w:r w:rsidRPr="003D7DF8">
                    <w:rPr>
                      <w:rFonts w:cstheme="minorHAnsi"/>
                      <w:sz w:val="20"/>
                      <w:szCs w:val="20"/>
                    </w:rPr>
                    <w:t>Small Tankless Water Heater, Tier 2 (UEF&gt;=0.87), Low Draw</w:t>
                  </w:r>
                </w:p>
              </w:tc>
              <w:tc>
                <w:tcPr>
                  <w:tcW w:w="948" w:type="pct"/>
                  <w:vAlign w:val="center"/>
                </w:tcPr>
                <w:p w14:paraId="07B38D1E" w14:textId="77777777" w:rsidR="003D7DF8" w:rsidRPr="00A92029" w:rsidRDefault="00EA5ECA" w:rsidP="003D7DF8">
                  <w:pPr>
                    <w:rPr>
                      <w:rFonts w:cstheme="minorHAnsi"/>
                      <w:color w:val="000000"/>
                      <w:sz w:val="20"/>
                      <w:szCs w:val="20"/>
                    </w:rPr>
                  </w:pPr>
                  <w:r w:rsidRPr="00EA5ECA">
                    <w:rPr>
                      <w:rFonts w:cstheme="minorHAnsi"/>
                      <w:color w:val="000000"/>
                      <w:sz w:val="20"/>
                      <w:szCs w:val="20"/>
                    </w:rPr>
                    <w:t>Inst_UEF-Gas-175kBtuh-LW-0p87UEF</w:t>
                  </w:r>
                </w:p>
              </w:tc>
              <w:tc>
                <w:tcPr>
                  <w:tcW w:w="1840" w:type="pct"/>
                  <w:vAlign w:val="center"/>
                </w:tcPr>
                <w:p w14:paraId="0E3979FD" w14:textId="77777777" w:rsidR="003D7DF8" w:rsidRPr="00A92029" w:rsidRDefault="003D7DF8" w:rsidP="003D7DF8">
                  <w:pPr>
                    <w:jc w:val="center"/>
                    <w:rPr>
                      <w:rFonts w:cstheme="minorHAnsi"/>
                      <w:color w:val="000000"/>
                      <w:sz w:val="20"/>
                      <w:szCs w:val="20"/>
                    </w:rPr>
                  </w:pPr>
                  <w:proofErr w:type="spellStart"/>
                  <w:r w:rsidRPr="00A92029">
                    <w:rPr>
                      <w:rFonts w:cstheme="minorHAnsi"/>
                      <w:color w:val="000000"/>
                      <w:sz w:val="20"/>
                      <w:szCs w:val="20"/>
                    </w:rPr>
                    <w:t>PreRebDown</w:t>
                  </w:r>
                  <w:proofErr w:type="spellEnd"/>
                  <w:r>
                    <w:rPr>
                      <w:rFonts w:cstheme="minorHAnsi"/>
                      <w:color w:val="000000"/>
                      <w:sz w:val="20"/>
                      <w:szCs w:val="20"/>
                    </w:rPr>
                    <w:t>/</w:t>
                  </w:r>
                  <w:proofErr w:type="spellStart"/>
                  <w:r>
                    <w:rPr>
                      <w:rFonts w:cstheme="minorHAnsi"/>
                      <w:color w:val="000000"/>
                      <w:sz w:val="20"/>
                      <w:szCs w:val="20"/>
                    </w:rPr>
                    <w:t>DnDeemed</w:t>
                  </w:r>
                  <w:proofErr w:type="spellEnd"/>
                </w:p>
              </w:tc>
            </w:tr>
            <w:tr w:rsidR="003D7DF8" w:rsidRPr="00A92029" w14:paraId="4060A28E" w14:textId="77777777" w:rsidTr="005F1D5A">
              <w:trPr>
                <w:jc w:val="center"/>
              </w:trPr>
              <w:tc>
                <w:tcPr>
                  <w:tcW w:w="1266" w:type="pct"/>
                  <w:vAlign w:val="center"/>
                </w:tcPr>
                <w:p w14:paraId="617263ED" w14:textId="77777777" w:rsidR="003D7DF8" w:rsidRPr="00A92029" w:rsidRDefault="003D7DF8" w:rsidP="003D7DF8">
                  <w:pPr>
                    <w:jc w:val="center"/>
                    <w:rPr>
                      <w:rFonts w:cstheme="minorHAnsi"/>
                      <w:sz w:val="20"/>
                      <w:szCs w:val="20"/>
                    </w:rPr>
                  </w:pPr>
                  <w:r>
                    <w:rPr>
                      <w:rFonts w:cstheme="minorHAnsi"/>
                      <w:sz w:val="20"/>
                      <w:szCs w:val="20"/>
                    </w:rPr>
                    <w:t>465973</w:t>
                  </w:r>
                </w:p>
              </w:tc>
              <w:tc>
                <w:tcPr>
                  <w:tcW w:w="946" w:type="pct"/>
                  <w:vAlign w:val="center"/>
                </w:tcPr>
                <w:p w14:paraId="7C706C03" w14:textId="77777777" w:rsidR="003D7DF8" w:rsidRPr="00A92029" w:rsidRDefault="003D7DF8" w:rsidP="003D7DF8">
                  <w:pPr>
                    <w:rPr>
                      <w:rFonts w:cstheme="minorHAnsi"/>
                      <w:sz w:val="20"/>
                      <w:szCs w:val="20"/>
                    </w:rPr>
                  </w:pPr>
                  <w:r w:rsidRPr="003D7DF8">
                    <w:rPr>
                      <w:rFonts w:cstheme="minorHAnsi"/>
                      <w:sz w:val="20"/>
                      <w:szCs w:val="20"/>
                    </w:rPr>
                    <w:t>Small Tankless Water Heater, Tier 2 (UEF&gt;=0.87), Medium Draw</w:t>
                  </w:r>
                </w:p>
              </w:tc>
              <w:tc>
                <w:tcPr>
                  <w:tcW w:w="948" w:type="pct"/>
                  <w:vAlign w:val="center"/>
                </w:tcPr>
                <w:p w14:paraId="7FECA506" w14:textId="77777777" w:rsidR="003D7DF8" w:rsidRPr="00A92029" w:rsidRDefault="00EA5ECA" w:rsidP="003D7DF8">
                  <w:pPr>
                    <w:rPr>
                      <w:rFonts w:cstheme="minorHAnsi"/>
                      <w:color w:val="000000"/>
                      <w:sz w:val="20"/>
                      <w:szCs w:val="20"/>
                    </w:rPr>
                  </w:pPr>
                  <w:r w:rsidRPr="00EA5ECA">
                    <w:rPr>
                      <w:rFonts w:cstheme="minorHAnsi"/>
                      <w:color w:val="000000"/>
                      <w:sz w:val="20"/>
                      <w:szCs w:val="20"/>
                    </w:rPr>
                    <w:t>Inst_UEF-Gas-175kBtuh-MD-0p87UEF</w:t>
                  </w:r>
                </w:p>
              </w:tc>
              <w:tc>
                <w:tcPr>
                  <w:tcW w:w="1840" w:type="pct"/>
                  <w:vAlign w:val="center"/>
                </w:tcPr>
                <w:p w14:paraId="3483D3C9" w14:textId="77777777" w:rsidR="003D7DF8" w:rsidRPr="00A92029" w:rsidRDefault="00EA5ECA" w:rsidP="003D7DF8">
                  <w:pPr>
                    <w:jc w:val="center"/>
                    <w:rPr>
                      <w:rFonts w:cstheme="minorHAnsi"/>
                      <w:color w:val="000000"/>
                      <w:sz w:val="20"/>
                      <w:szCs w:val="20"/>
                    </w:rPr>
                  </w:pPr>
                  <w:proofErr w:type="spellStart"/>
                  <w:r w:rsidRPr="00EA5ECA">
                    <w:rPr>
                      <w:rFonts w:cstheme="minorHAnsi"/>
                      <w:color w:val="000000"/>
                      <w:sz w:val="20"/>
                      <w:szCs w:val="20"/>
                    </w:rPr>
                    <w:t>PreRebDown</w:t>
                  </w:r>
                  <w:proofErr w:type="spellEnd"/>
                  <w:r w:rsidRPr="00EA5ECA">
                    <w:rPr>
                      <w:rFonts w:cstheme="minorHAnsi"/>
                      <w:color w:val="000000"/>
                      <w:sz w:val="20"/>
                      <w:szCs w:val="20"/>
                    </w:rPr>
                    <w:t>/</w:t>
                  </w:r>
                  <w:proofErr w:type="spellStart"/>
                  <w:r w:rsidRPr="00EA5ECA">
                    <w:rPr>
                      <w:rFonts w:cstheme="minorHAnsi"/>
                      <w:color w:val="000000"/>
                      <w:sz w:val="20"/>
                      <w:szCs w:val="20"/>
                    </w:rPr>
                    <w:t>DnDeemed</w:t>
                  </w:r>
                  <w:proofErr w:type="spellEnd"/>
                </w:p>
              </w:tc>
            </w:tr>
            <w:tr w:rsidR="003D7DF8" w:rsidRPr="00A92029" w14:paraId="1E1EEC50" w14:textId="77777777" w:rsidTr="005F1D5A">
              <w:trPr>
                <w:jc w:val="center"/>
              </w:trPr>
              <w:tc>
                <w:tcPr>
                  <w:tcW w:w="1266" w:type="pct"/>
                  <w:vAlign w:val="center"/>
                </w:tcPr>
                <w:p w14:paraId="564907F0" w14:textId="77777777" w:rsidR="003D7DF8" w:rsidRPr="00A92029" w:rsidRDefault="003D7DF8" w:rsidP="003D7DF8">
                  <w:pPr>
                    <w:jc w:val="center"/>
                    <w:rPr>
                      <w:rFonts w:cstheme="minorHAnsi"/>
                      <w:sz w:val="20"/>
                      <w:szCs w:val="20"/>
                    </w:rPr>
                  </w:pPr>
                  <w:r>
                    <w:rPr>
                      <w:rFonts w:cstheme="minorHAnsi"/>
                      <w:sz w:val="20"/>
                      <w:szCs w:val="20"/>
                    </w:rPr>
                    <w:t>465974</w:t>
                  </w:r>
                </w:p>
              </w:tc>
              <w:tc>
                <w:tcPr>
                  <w:tcW w:w="946" w:type="pct"/>
                  <w:vAlign w:val="center"/>
                </w:tcPr>
                <w:p w14:paraId="4AC260AC" w14:textId="77777777" w:rsidR="003D7DF8" w:rsidRPr="00A92029" w:rsidRDefault="003D7DF8" w:rsidP="003D7DF8">
                  <w:pPr>
                    <w:rPr>
                      <w:rFonts w:cstheme="minorHAnsi"/>
                      <w:sz w:val="20"/>
                      <w:szCs w:val="20"/>
                    </w:rPr>
                  </w:pPr>
                  <w:r w:rsidRPr="003D7DF8">
                    <w:rPr>
                      <w:rFonts w:cstheme="minorHAnsi"/>
                      <w:sz w:val="20"/>
                      <w:szCs w:val="20"/>
                    </w:rPr>
                    <w:t>Small Tankless Water Heater, Tier 2 (UEF&gt;=0.87), High Draw</w:t>
                  </w:r>
                </w:p>
              </w:tc>
              <w:tc>
                <w:tcPr>
                  <w:tcW w:w="948" w:type="pct"/>
                  <w:vAlign w:val="center"/>
                </w:tcPr>
                <w:p w14:paraId="1E038233" w14:textId="77777777" w:rsidR="003D7DF8" w:rsidRPr="00A92029" w:rsidRDefault="00EA5ECA" w:rsidP="003D7DF8">
                  <w:pPr>
                    <w:rPr>
                      <w:rFonts w:cstheme="minorHAnsi"/>
                      <w:color w:val="000000"/>
                      <w:sz w:val="20"/>
                      <w:szCs w:val="20"/>
                    </w:rPr>
                  </w:pPr>
                  <w:r w:rsidRPr="00EA5ECA">
                    <w:rPr>
                      <w:rFonts w:cstheme="minorHAnsi"/>
                      <w:color w:val="000000"/>
                      <w:sz w:val="20"/>
                      <w:szCs w:val="20"/>
                    </w:rPr>
                    <w:t>Inst_UEF-Gas-175kBtuh-HI-0p87UEF</w:t>
                  </w:r>
                </w:p>
              </w:tc>
              <w:tc>
                <w:tcPr>
                  <w:tcW w:w="1840" w:type="pct"/>
                  <w:vAlign w:val="center"/>
                </w:tcPr>
                <w:p w14:paraId="07A69E98" w14:textId="77777777" w:rsidR="003D7DF8" w:rsidRPr="00A92029" w:rsidRDefault="00EA5ECA" w:rsidP="003D7DF8">
                  <w:pPr>
                    <w:jc w:val="center"/>
                    <w:rPr>
                      <w:rFonts w:cstheme="minorHAnsi"/>
                      <w:color w:val="000000"/>
                      <w:sz w:val="20"/>
                      <w:szCs w:val="20"/>
                    </w:rPr>
                  </w:pPr>
                  <w:proofErr w:type="spellStart"/>
                  <w:r w:rsidRPr="00EA5ECA">
                    <w:rPr>
                      <w:rFonts w:cstheme="minorHAnsi"/>
                      <w:color w:val="000000"/>
                      <w:sz w:val="20"/>
                      <w:szCs w:val="20"/>
                    </w:rPr>
                    <w:t>PreRebDown</w:t>
                  </w:r>
                  <w:proofErr w:type="spellEnd"/>
                  <w:r w:rsidRPr="00EA5ECA">
                    <w:rPr>
                      <w:rFonts w:cstheme="minorHAnsi"/>
                      <w:color w:val="000000"/>
                      <w:sz w:val="20"/>
                      <w:szCs w:val="20"/>
                    </w:rPr>
                    <w:t>/</w:t>
                  </w:r>
                  <w:proofErr w:type="spellStart"/>
                  <w:r w:rsidRPr="00EA5ECA">
                    <w:rPr>
                      <w:rFonts w:cstheme="minorHAnsi"/>
                      <w:color w:val="000000"/>
                      <w:sz w:val="20"/>
                      <w:szCs w:val="20"/>
                    </w:rPr>
                    <w:t>DnDeemed</w:t>
                  </w:r>
                  <w:proofErr w:type="spellEnd"/>
                </w:p>
              </w:tc>
            </w:tr>
          </w:tbl>
          <w:p w14:paraId="235C6A4B" w14:textId="77777777" w:rsidR="006D0D98" w:rsidRPr="002016E8" w:rsidRDefault="006D0D98" w:rsidP="002016E8">
            <w:pPr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2016E8" w:rsidRPr="002016E8" w14:paraId="4D71F192" w14:textId="77777777" w:rsidTr="005F1D5A">
        <w:trPr>
          <w:cantSplit/>
        </w:trPr>
        <w:tc>
          <w:tcPr>
            <w:tcW w:w="1435" w:type="dxa"/>
          </w:tcPr>
          <w:p w14:paraId="163D3E82" w14:textId="77777777" w:rsidR="002016E8" w:rsidRPr="002016E8" w:rsidRDefault="002016E8" w:rsidP="002016E8">
            <w:pPr>
              <w:jc w:val="right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2016E8">
              <w:rPr>
                <w:rFonts w:ascii="Calibri" w:eastAsia="Times New Roman" w:hAnsi="Calibri" w:cs="Times New Roman"/>
                <w:sz w:val="20"/>
                <w:szCs w:val="20"/>
              </w:rPr>
              <w:t>Code for All Measures</w:t>
            </w:r>
          </w:p>
        </w:tc>
        <w:tc>
          <w:tcPr>
            <w:tcW w:w="7915" w:type="dxa"/>
          </w:tcPr>
          <w:p w14:paraId="4693C436" w14:textId="77777777" w:rsidR="00845AD0" w:rsidRPr="00845AD0" w:rsidRDefault="00845AD0" w:rsidP="00845AD0">
            <w:pPr>
              <w:spacing w:before="40" w:after="4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845AD0">
              <w:rPr>
                <w:rFonts w:ascii="Calibri" w:eastAsia="Times New Roman" w:hAnsi="Calibri" w:cs="Calibri"/>
                <w:sz w:val="20"/>
                <w:szCs w:val="20"/>
              </w:rPr>
              <w:t>Please reference WPSCGREWH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 xml:space="preserve">120919A-Rev4 </w:t>
            </w:r>
            <w:r w:rsidRPr="00845AD0">
              <w:rPr>
                <w:rFonts w:ascii="Calibri" w:eastAsia="Times New Roman" w:hAnsi="Calibri" w:cs="Calibri"/>
                <w:sz w:val="20"/>
                <w:szCs w:val="20"/>
              </w:rPr>
              <w:t>Section 1.4.2 Codes and Standards Analysis</w:t>
            </w:r>
          </w:p>
          <w:p w14:paraId="2DDB344B" w14:textId="77777777" w:rsidR="002016E8" w:rsidRPr="002016E8" w:rsidRDefault="002016E8" w:rsidP="002016E8">
            <w:pPr>
              <w:spacing w:before="40" w:after="40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2016E8" w:rsidRPr="002016E8" w14:paraId="7E20560F" w14:textId="77777777" w:rsidTr="005F1D5A">
        <w:trPr>
          <w:cantSplit/>
        </w:trPr>
        <w:tc>
          <w:tcPr>
            <w:tcW w:w="1435" w:type="dxa"/>
          </w:tcPr>
          <w:p w14:paraId="274D3D17" w14:textId="77777777" w:rsidR="002016E8" w:rsidRPr="002016E8" w:rsidRDefault="002016E8" w:rsidP="002016E8">
            <w:pPr>
              <w:jc w:val="right"/>
              <w:rPr>
                <w:rFonts w:ascii="Calibri" w:eastAsia="Times New Roman" w:hAnsi="Calibri" w:cs="Times New Roman"/>
                <w:b/>
                <w:szCs w:val="24"/>
              </w:rPr>
            </w:pPr>
            <w:r w:rsidRPr="002016E8">
              <w:rPr>
                <w:rFonts w:ascii="Calibri" w:eastAsia="Times New Roman" w:hAnsi="Calibri" w:cs="Arial"/>
                <w:sz w:val="20"/>
                <w:szCs w:val="20"/>
              </w:rPr>
              <w:lastRenderedPageBreak/>
              <w:t>Requirements</w:t>
            </w:r>
          </w:p>
        </w:tc>
        <w:tc>
          <w:tcPr>
            <w:tcW w:w="7915" w:type="dxa"/>
          </w:tcPr>
          <w:p w14:paraId="592D6708" w14:textId="77777777" w:rsidR="00AE25E1" w:rsidRPr="00845AD0" w:rsidRDefault="00AE25E1" w:rsidP="00AE25E1">
            <w:pPr>
              <w:rPr>
                <w:rFonts w:ascii="Calibri" w:eastAsia="Times New Roman" w:hAnsi="Calibri" w:cs="Calibri"/>
                <w:sz w:val="20"/>
                <w:szCs w:val="20"/>
              </w:rPr>
            </w:pPr>
            <w:r w:rsidRPr="00845AD0">
              <w:rPr>
                <w:rFonts w:ascii="Calibri" w:eastAsia="Times New Roman" w:hAnsi="Calibri" w:cs="Calibri"/>
                <w:sz w:val="20"/>
                <w:szCs w:val="20"/>
              </w:rPr>
              <w:t>Eligibility Requirements</w:t>
            </w:r>
          </w:p>
          <w:p w14:paraId="3DD68947" w14:textId="77777777" w:rsidR="00AE25E1" w:rsidRPr="00845AD0" w:rsidRDefault="00AE25E1" w:rsidP="00AE25E1">
            <w:pPr>
              <w:numPr>
                <w:ilvl w:val="0"/>
                <w:numId w:val="2"/>
              </w:numPr>
              <w:rPr>
                <w:rFonts w:ascii="Calibri" w:eastAsia="Times New Roman" w:hAnsi="Calibri" w:cs="Calibri"/>
                <w:sz w:val="20"/>
                <w:szCs w:val="20"/>
              </w:rPr>
            </w:pPr>
            <w:r w:rsidRPr="00845AD0">
              <w:rPr>
                <w:rFonts w:ascii="Calibri" w:eastAsia="Times New Roman" w:hAnsi="Calibri" w:cs="Calibri"/>
                <w:sz w:val="20"/>
                <w:szCs w:val="20"/>
              </w:rPr>
              <w:t>Test methods for measuring water heater efficiencies are referenced in the California Titles 20 and 24 standards</w:t>
            </w:r>
            <w:r w:rsidRPr="00845AD0">
              <w:rPr>
                <w:rFonts w:ascii="Calibri" w:eastAsia="Times New Roman" w:hAnsi="Calibri" w:cs="Calibri"/>
                <w:sz w:val="20"/>
                <w:szCs w:val="20"/>
                <w:vertAlign w:val="subscript"/>
              </w:rPr>
              <w:t>1,2</w:t>
            </w:r>
            <w:r w:rsidRPr="00845AD0">
              <w:rPr>
                <w:rFonts w:ascii="Calibri" w:eastAsia="Times New Roman" w:hAnsi="Calibri" w:cs="Calibri"/>
                <w:sz w:val="20"/>
                <w:szCs w:val="20"/>
              </w:rPr>
              <w:t>.</w:t>
            </w:r>
          </w:p>
          <w:p w14:paraId="6A5D4DCB" w14:textId="77777777" w:rsidR="00AE25E1" w:rsidRPr="00845AD0" w:rsidRDefault="00AE25E1" w:rsidP="00AE25E1">
            <w:pPr>
              <w:numPr>
                <w:ilvl w:val="0"/>
                <w:numId w:val="2"/>
              </w:numPr>
              <w:rPr>
                <w:rFonts w:ascii="Calibri" w:eastAsia="Times New Roman" w:hAnsi="Calibri" w:cs="Calibri"/>
                <w:sz w:val="20"/>
                <w:szCs w:val="20"/>
              </w:rPr>
            </w:pPr>
            <w:r w:rsidRPr="00845AD0">
              <w:rPr>
                <w:rFonts w:ascii="Calibri" w:eastAsia="Times New Roman" w:hAnsi="Calibri" w:cs="Calibri"/>
                <w:sz w:val="20"/>
                <w:szCs w:val="20"/>
              </w:rPr>
              <w:t xml:space="preserve">Meet minimum qualifying uniform energy factor (UEF) for small or medium (&lt;200 </w:t>
            </w:r>
            <w:proofErr w:type="spellStart"/>
            <w:r w:rsidRPr="00845AD0">
              <w:rPr>
                <w:rFonts w:ascii="Calibri" w:eastAsia="Times New Roman" w:hAnsi="Calibri" w:cs="Calibri"/>
                <w:sz w:val="20"/>
                <w:szCs w:val="20"/>
              </w:rPr>
              <w:t>MBtu</w:t>
            </w:r>
            <w:proofErr w:type="spellEnd"/>
            <w:r w:rsidRPr="00845AD0">
              <w:rPr>
                <w:rFonts w:ascii="Calibri" w:eastAsia="Times New Roman" w:hAnsi="Calibri" w:cs="Calibri"/>
                <w:sz w:val="20"/>
                <w:szCs w:val="20"/>
              </w:rPr>
              <w:t>/</w:t>
            </w:r>
            <w:proofErr w:type="spellStart"/>
            <w:r w:rsidRPr="00845AD0">
              <w:rPr>
                <w:rFonts w:ascii="Calibri" w:eastAsia="Times New Roman" w:hAnsi="Calibri" w:cs="Calibri"/>
                <w:sz w:val="20"/>
                <w:szCs w:val="20"/>
              </w:rPr>
              <w:t>hr</w:t>
            </w:r>
            <w:proofErr w:type="spellEnd"/>
            <w:r w:rsidRPr="00845AD0">
              <w:rPr>
                <w:rFonts w:ascii="Calibri" w:eastAsia="Times New Roman" w:hAnsi="Calibri" w:cs="Calibri"/>
                <w:sz w:val="20"/>
                <w:szCs w:val="20"/>
              </w:rPr>
              <w:t xml:space="preserve">) tankless water heaters replacing storage water heaters:  </w:t>
            </w:r>
          </w:p>
          <w:p w14:paraId="187E5F42" w14:textId="77777777" w:rsidR="00AE25E1" w:rsidRPr="00845AD0" w:rsidRDefault="00AE25E1" w:rsidP="00AE25E1">
            <w:pPr>
              <w:numPr>
                <w:ilvl w:val="1"/>
                <w:numId w:val="2"/>
              </w:numPr>
              <w:rPr>
                <w:rFonts w:ascii="Calibri" w:eastAsia="Times New Roman" w:hAnsi="Calibri" w:cs="Calibri"/>
                <w:sz w:val="20"/>
                <w:szCs w:val="20"/>
              </w:rPr>
            </w:pPr>
            <w:r w:rsidRPr="00845AD0">
              <w:rPr>
                <w:rFonts w:ascii="Calibri" w:eastAsia="Times New Roman" w:hAnsi="Calibri" w:cs="Calibri"/>
                <w:sz w:val="20"/>
                <w:szCs w:val="20"/>
              </w:rPr>
              <w:t>0.81 UEF for Tier 1 (non-condensing)</w:t>
            </w:r>
          </w:p>
          <w:p w14:paraId="431919C7" w14:textId="77777777" w:rsidR="00AE25E1" w:rsidRPr="00845AD0" w:rsidRDefault="00AE25E1" w:rsidP="00AE25E1">
            <w:pPr>
              <w:numPr>
                <w:ilvl w:val="1"/>
                <w:numId w:val="2"/>
              </w:numPr>
              <w:rPr>
                <w:rFonts w:ascii="Calibri" w:eastAsia="Times New Roman" w:hAnsi="Calibri" w:cs="Calibri"/>
                <w:sz w:val="20"/>
                <w:szCs w:val="20"/>
              </w:rPr>
            </w:pPr>
            <w:r w:rsidRPr="00845AD0">
              <w:rPr>
                <w:rFonts w:ascii="Calibri" w:eastAsia="Times New Roman" w:hAnsi="Calibri" w:cs="Calibri"/>
                <w:sz w:val="20"/>
                <w:szCs w:val="20"/>
              </w:rPr>
              <w:t>0.87 UEF for Tier 2 (condensing)</w:t>
            </w:r>
          </w:p>
          <w:p w14:paraId="34FEC6FA" w14:textId="77777777" w:rsidR="00AE25E1" w:rsidRPr="00845AD0" w:rsidRDefault="00AE25E1" w:rsidP="00AE25E1">
            <w:pPr>
              <w:numPr>
                <w:ilvl w:val="0"/>
                <w:numId w:val="2"/>
              </w:numPr>
              <w:rPr>
                <w:rFonts w:ascii="Calibri" w:eastAsia="Times New Roman" w:hAnsi="Calibri" w:cs="Calibri"/>
                <w:sz w:val="20"/>
                <w:szCs w:val="20"/>
              </w:rPr>
            </w:pPr>
            <w:r w:rsidRPr="00845AD0">
              <w:rPr>
                <w:rFonts w:ascii="Calibri" w:eastAsia="Times New Roman" w:hAnsi="Calibri" w:cs="Calibri"/>
                <w:sz w:val="20"/>
                <w:szCs w:val="20"/>
              </w:rPr>
              <w:t>Meet minimum emission requirements per air district.</w:t>
            </w:r>
          </w:p>
          <w:p w14:paraId="2D243CF0" w14:textId="77777777" w:rsidR="00AE25E1" w:rsidRPr="00845AD0" w:rsidRDefault="00AE25E1" w:rsidP="00AE25E1">
            <w:pPr>
              <w:numPr>
                <w:ilvl w:val="0"/>
                <w:numId w:val="2"/>
              </w:numPr>
              <w:rPr>
                <w:rFonts w:ascii="Calibri" w:eastAsia="Times New Roman" w:hAnsi="Calibri" w:cs="Calibri"/>
                <w:sz w:val="20"/>
                <w:szCs w:val="20"/>
              </w:rPr>
            </w:pPr>
            <w:r w:rsidRPr="00845AD0">
              <w:rPr>
                <w:rFonts w:ascii="Calibri" w:eastAsia="Times New Roman" w:hAnsi="Calibri" w:cs="Calibri"/>
                <w:sz w:val="20"/>
                <w:szCs w:val="20"/>
              </w:rPr>
              <w:t xml:space="preserve">Tier 2 hot water heaters are condensing and often require flue modifications to handle the condensate.  </w:t>
            </w:r>
          </w:p>
          <w:p w14:paraId="62428E0A" w14:textId="77777777" w:rsidR="00AE25E1" w:rsidRPr="00845AD0" w:rsidRDefault="00AE25E1" w:rsidP="00AE25E1">
            <w:pPr>
              <w:rPr>
                <w:rFonts w:ascii="Calibri" w:eastAsia="Times New Roman" w:hAnsi="Calibri" w:cs="Calibri"/>
                <w:sz w:val="20"/>
                <w:szCs w:val="20"/>
              </w:rPr>
            </w:pPr>
            <w:r w:rsidRPr="00845AD0">
              <w:rPr>
                <w:rFonts w:ascii="Calibri" w:eastAsia="Times New Roman" w:hAnsi="Calibri" w:cs="Calibri"/>
                <w:sz w:val="20"/>
                <w:szCs w:val="20"/>
              </w:rPr>
              <w:t>Implementation Requirements</w:t>
            </w:r>
          </w:p>
          <w:p w14:paraId="2E500115" w14:textId="77777777" w:rsidR="00AE25E1" w:rsidRPr="00845AD0" w:rsidRDefault="00AE25E1" w:rsidP="00AE25E1">
            <w:pPr>
              <w:numPr>
                <w:ilvl w:val="0"/>
                <w:numId w:val="3"/>
              </w:numPr>
              <w:rPr>
                <w:rFonts w:ascii="Calibri" w:eastAsia="Times New Roman" w:hAnsi="Calibri" w:cs="Calibri"/>
                <w:sz w:val="20"/>
                <w:szCs w:val="20"/>
              </w:rPr>
            </w:pPr>
            <w:r w:rsidRPr="00845AD0">
              <w:rPr>
                <w:rFonts w:ascii="Calibri" w:eastAsia="Times New Roman" w:hAnsi="Calibri" w:cs="Calibri"/>
                <w:sz w:val="20"/>
                <w:szCs w:val="20"/>
              </w:rPr>
              <w:t xml:space="preserve">The rebate applies to one natural gas tankless water heater replacing one natural gas storage water heater on burnout or to new installations in existing buildings.  </w:t>
            </w:r>
          </w:p>
          <w:p w14:paraId="4E46483D" w14:textId="77777777" w:rsidR="00AE25E1" w:rsidRPr="00845AD0" w:rsidRDefault="00AE25E1" w:rsidP="00AE25E1">
            <w:pPr>
              <w:numPr>
                <w:ilvl w:val="0"/>
                <w:numId w:val="3"/>
              </w:numPr>
              <w:rPr>
                <w:rFonts w:ascii="Calibri" w:eastAsia="Times New Roman" w:hAnsi="Calibri" w:cs="Calibri"/>
                <w:sz w:val="20"/>
                <w:szCs w:val="20"/>
              </w:rPr>
            </w:pPr>
            <w:r w:rsidRPr="00845AD0">
              <w:rPr>
                <w:rFonts w:ascii="Calibri" w:eastAsia="Times New Roman" w:hAnsi="Calibri" w:cs="Calibri"/>
                <w:sz w:val="20"/>
                <w:szCs w:val="20"/>
              </w:rPr>
              <w:t>This measure is applicable only to single family and multifamily residential domestic (or “service”) hot water applications with a water heater in (single family only), or attached to, each dwelling unit or in adjacent units (multifamily only). Table 4 - displays approved sectors and subsectors.</w:t>
            </w:r>
          </w:p>
          <w:p w14:paraId="794E1C2E" w14:textId="77777777" w:rsidR="00AE25E1" w:rsidRPr="00845AD0" w:rsidRDefault="00AE25E1" w:rsidP="00AE25E1">
            <w:pPr>
              <w:numPr>
                <w:ilvl w:val="0"/>
                <w:numId w:val="3"/>
              </w:numPr>
              <w:rPr>
                <w:rFonts w:ascii="Calibri" w:eastAsia="Times New Roman" w:hAnsi="Calibri" w:cs="Calibri"/>
                <w:sz w:val="20"/>
                <w:szCs w:val="20"/>
              </w:rPr>
            </w:pPr>
            <w:r w:rsidRPr="00845AD0">
              <w:rPr>
                <w:rFonts w:ascii="Calibri" w:eastAsia="Times New Roman" w:hAnsi="Calibri" w:cs="Calibri"/>
                <w:sz w:val="20"/>
                <w:szCs w:val="20"/>
              </w:rPr>
              <w:t xml:space="preserve">This measure is limited to single family residences with a water heater and multifamily residences with a water heater in each dwelling unit or with a water heater serving adjacent unit.  </w:t>
            </w:r>
          </w:p>
          <w:p w14:paraId="449C109D" w14:textId="77777777" w:rsidR="00AE25E1" w:rsidRPr="00845AD0" w:rsidRDefault="00AE25E1" w:rsidP="00AE25E1">
            <w:pPr>
              <w:numPr>
                <w:ilvl w:val="0"/>
                <w:numId w:val="3"/>
              </w:numPr>
              <w:rPr>
                <w:rFonts w:ascii="Calibri" w:eastAsia="Times New Roman" w:hAnsi="Calibri" w:cs="Calibri"/>
                <w:sz w:val="20"/>
                <w:szCs w:val="20"/>
              </w:rPr>
            </w:pPr>
            <w:r w:rsidRPr="00845AD0">
              <w:rPr>
                <w:rFonts w:ascii="Calibri" w:eastAsia="Times New Roman" w:hAnsi="Calibri" w:cs="Calibri"/>
                <w:sz w:val="20"/>
                <w:szCs w:val="20"/>
              </w:rPr>
              <w:t xml:space="preserve">This measure applies to replacing a storage water heater with a tankless water heater. </w:t>
            </w:r>
          </w:p>
          <w:p w14:paraId="32363346" w14:textId="77777777" w:rsidR="00AE25E1" w:rsidRPr="00845AD0" w:rsidRDefault="00AE25E1" w:rsidP="00AE25E1">
            <w:pPr>
              <w:numPr>
                <w:ilvl w:val="0"/>
                <w:numId w:val="3"/>
              </w:numPr>
              <w:rPr>
                <w:rFonts w:ascii="Calibri" w:eastAsia="Times New Roman" w:hAnsi="Calibri" w:cs="Calibri"/>
                <w:sz w:val="20"/>
                <w:szCs w:val="20"/>
              </w:rPr>
            </w:pPr>
            <w:r w:rsidRPr="00845AD0">
              <w:rPr>
                <w:rFonts w:ascii="Calibri" w:eastAsia="Times New Roman" w:hAnsi="Calibri" w:cs="Calibri"/>
                <w:sz w:val="20"/>
                <w:szCs w:val="20"/>
              </w:rPr>
              <w:t>This Workpaper does not cover water heaters or hot water boilers used for commercial domestic hot water, space conditioning, industrial (process) end-use, pool, or spa applications.</w:t>
            </w:r>
          </w:p>
          <w:p w14:paraId="6459CEE8" w14:textId="77777777" w:rsidR="00AE25E1" w:rsidRPr="00845AD0" w:rsidRDefault="00AE25E1" w:rsidP="00AE25E1">
            <w:pPr>
              <w:rPr>
                <w:rFonts w:ascii="Calibri" w:eastAsia="Times New Roman" w:hAnsi="Calibri" w:cs="Calibri"/>
                <w:sz w:val="20"/>
                <w:szCs w:val="20"/>
              </w:rPr>
            </w:pPr>
            <w:r w:rsidRPr="00845AD0">
              <w:rPr>
                <w:rFonts w:ascii="Calibri" w:eastAsia="Times New Roman" w:hAnsi="Calibri" w:cs="Calibri"/>
                <w:sz w:val="20"/>
                <w:szCs w:val="20"/>
              </w:rPr>
              <w:t>Documentation Requirements</w:t>
            </w:r>
          </w:p>
          <w:p w14:paraId="64638940" w14:textId="77777777" w:rsidR="00AE25E1" w:rsidRPr="00845AD0" w:rsidRDefault="00AE25E1" w:rsidP="00AE25E1">
            <w:pPr>
              <w:numPr>
                <w:ilvl w:val="0"/>
                <w:numId w:val="4"/>
              </w:numPr>
              <w:rPr>
                <w:rFonts w:ascii="Calibri" w:eastAsia="Times New Roman" w:hAnsi="Calibri" w:cs="Calibri"/>
                <w:sz w:val="20"/>
                <w:szCs w:val="20"/>
              </w:rPr>
            </w:pPr>
            <w:r w:rsidRPr="00845AD0">
              <w:rPr>
                <w:rFonts w:ascii="Calibri" w:eastAsia="Times New Roman" w:hAnsi="Calibri" w:cs="Calibri"/>
                <w:sz w:val="20"/>
                <w:szCs w:val="20"/>
              </w:rPr>
              <w:t xml:space="preserve">The manufacturer’s name and equipment model number must be provided.  </w:t>
            </w:r>
          </w:p>
          <w:p w14:paraId="59953676" w14:textId="77777777" w:rsidR="00AE25E1" w:rsidRPr="00845AD0" w:rsidRDefault="00AE25E1" w:rsidP="00AE25E1">
            <w:pPr>
              <w:numPr>
                <w:ilvl w:val="0"/>
                <w:numId w:val="4"/>
              </w:numPr>
              <w:rPr>
                <w:rFonts w:ascii="Calibri" w:eastAsia="Times New Roman" w:hAnsi="Calibri" w:cs="Calibri"/>
                <w:sz w:val="20"/>
                <w:szCs w:val="20"/>
              </w:rPr>
            </w:pPr>
            <w:r w:rsidRPr="00845AD0">
              <w:rPr>
                <w:rFonts w:ascii="Calibri" w:eastAsia="Times New Roman" w:hAnsi="Calibri" w:cs="Calibri"/>
                <w:sz w:val="20"/>
                <w:szCs w:val="20"/>
              </w:rPr>
              <w:t>If necessary, customer must provide proof of unit efficiency (e.g., manufacturer’s equipment specification sheet).</w:t>
            </w:r>
          </w:p>
          <w:p w14:paraId="4C574161" w14:textId="77777777" w:rsidR="00AE25E1" w:rsidRPr="00845AD0" w:rsidRDefault="00AE25E1" w:rsidP="00AE25E1">
            <w:pPr>
              <w:rPr>
                <w:rFonts w:ascii="Calibri" w:eastAsia="Times New Roman" w:hAnsi="Calibri" w:cs="Calibri"/>
                <w:sz w:val="20"/>
                <w:szCs w:val="20"/>
              </w:rPr>
            </w:pPr>
            <w:r w:rsidRPr="00845AD0">
              <w:rPr>
                <w:rFonts w:ascii="Calibri" w:eastAsia="Times New Roman" w:hAnsi="Calibri" w:cs="Calibri"/>
                <w:sz w:val="20"/>
                <w:szCs w:val="20"/>
              </w:rPr>
              <w:t>Terms &amp; Conditions</w:t>
            </w:r>
          </w:p>
          <w:p w14:paraId="4A741163" w14:textId="77777777" w:rsidR="00AE25E1" w:rsidRPr="00845AD0" w:rsidRDefault="00AE25E1" w:rsidP="00AE25E1">
            <w:pPr>
              <w:numPr>
                <w:ilvl w:val="0"/>
                <w:numId w:val="5"/>
              </w:numPr>
              <w:rPr>
                <w:rFonts w:ascii="Calibri" w:eastAsia="Times New Roman" w:hAnsi="Calibri" w:cs="Calibri"/>
                <w:sz w:val="20"/>
                <w:szCs w:val="20"/>
              </w:rPr>
            </w:pPr>
            <w:r w:rsidRPr="00845AD0">
              <w:rPr>
                <w:rFonts w:ascii="Calibri" w:eastAsia="Times New Roman" w:hAnsi="Calibri" w:cs="Calibri"/>
                <w:sz w:val="20"/>
                <w:szCs w:val="20"/>
              </w:rPr>
              <w:t>Only tankless water heaters as defined by the California Energy Commission qualify. They must:</w:t>
            </w:r>
          </w:p>
          <w:p w14:paraId="61CBD310" w14:textId="77777777" w:rsidR="00AE25E1" w:rsidRPr="00845AD0" w:rsidRDefault="00AE25E1" w:rsidP="00AE25E1">
            <w:pPr>
              <w:numPr>
                <w:ilvl w:val="1"/>
                <w:numId w:val="5"/>
              </w:numPr>
              <w:rPr>
                <w:rFonts w:ascii="Calibri" w:eastAsia="Times New Roman" w:hAnsi="Calibri" w:cs="Calibri"/>
                <w:sz w:val="20"/>
                <w:szCs w:val="20"/>
              </w:rPr>
            </w:pPr>
            <w:r w:rsidRPr="00845AD0">
              <w:rPr>
                <w:rFonts w:ascii="Calibri" w:eastAsia="Times New Roman" w:hAnsi="Calibri" w:cs="Calibri"/>
                <w:sz w:val="20"/>
                <w:szCs w:val="20"/>
              </w:rPr>
              <w:t>Be used primarily for domestic hot water</w:t>
            </w:r>
          </w:p>
          <w:p w14:paraId="636CED51" w14:textId="77777777" w:rsidR="00AE25E1" w:rsidRPr="00845AD0" w:rsidRDefault="00AE25E1" w:rsidP="00AE25E1">
            <w:pPr>
              <w:numPr>
                <w:ilvl w:val="1"/>
                <w:numId w:val="5"/>
              </w:numPr>
              <w:rPr>
                <w:rFonts w:ascii="Calibri" w:eastAsia="Times New Roman" w:hAnsi="Calibri" w:cs="Calibri"/>
                <w:sz w:val="20"/>
                <w:szCs w:val="20"/>
              </w:rPr>
            </w:pPr>
            <w:r w:rsidRPr="00845AD0">
              <w:rPr>
                <w:rFonts w:ascii="Calibri" w:eastAsia="Times New Roman" w:hAnsi="Calibri" w:cs="Calibri"/>
                <w:sz w:val="20"/>
                <w:szCs w:val="20"/>
              </w:rPr>
              <w:t>Be installed at the point of use</w:t>
            </w:r>
          </w:p>
          <w:p w14:paraId="64D93AD4" w14:textId="77777777" w:rsidR="00AE25E1" w:rsidRPr="00845AD0" w:rsidRDefault="00AE25E1" w:rsidP="00AE25E1">
            <w:pPr>
              <w:numPr>
                <w:ilvl w:val="1"/>
                <w:numId w:val="5"/>
              </w:numPr>
              <w:rPr>
                <w:rFonts w:ascii="Calibri" w:eastAsia="Times New Roman" w:hAnsi="Calibri" w:cs="Calibri"/>
                <w:sz w:val="20"/>
                <w:szCs w:val="20"/>
              </w:rPr>
            </w:pPr>
            <w:r w:rsidRPr="00845AD0">
              <w:rPr>
                <w:rFonts w:ascii="Calibri" w:eastAsia="Times New Roman" w:hAnsi="Calibri" w:cs="Calibri"/>
                <w:sz w:val="20"/>
                <w:szCs w:val="20"/>
              </w:rPr>
              <w:t>Provide hot water only when there is a hot water draw from the end use</w:t>
            </w:r>
          </w:p>
          <w:p w14:paraId="7CB2C143" w14:textId="77777777" w:rsidR="00AE25E1" w:rsidRPr="00845AD0" w:rsidRDefault="00AE25E1" w:rsidP="00AE25E1">
            <w:pPr>
              <w:numPr>
                <w:ilvl w:val="1"/>
                <w:numId w:val="5"/>
              </w:numPr>
              <w:rPr>
                <w:rFonts w:ascii="Calibri" w:eastAsia="Times New Roman" w:hAnsi="Calibri" w:cs="Calibri"/>
                <w:sz w:val="20"/>
                <w:szCs w:val="20"/>
              </w:rPr>
            </w:pPr>
            <w:r w:rsidRPr="00845AD0">
              <w:rPr>
                <w:rFonts w:ascii="Calibri" w:eastAsia="Times New Roman" w:hAnsi="Calibri" w:cs="Calibri"/>
                <w:sz w:val="20"/>
                <w:szCs w:val="20"/>
              </w:rPr>
              <w:t>Not be connected to an external storage tank.</w:t>
            </w:r>
          </w:p>
          <w:p w14:paraId="70AD16E8" w14:textId="77777777" w:rsidR="00AE25E1" w:rsidRPr="00845AD0" w:rsidRDefault="00AE25E1" w:rsidP="00AE25E1">
            <w:pPr>
              <w:numPr>
                <w:ilvl w:val="1"/>
                <w:numId w:val="5"/>
              </w:numPr>
              <w:rPr>
                <w:rFonts w:ascii="Calibri" w:eastAsia="Times New Roman" w:hAnsi="Calibri" w:cs="Calibri"/>
                <w:sz w:val="20"/>
                <w:szCs w:val="20"/>
              </w:rPr>
            </w:pPr>
            <w:r w:rsidRPr="00845AD0">
              <w:rPr>
                <w:rFonts w:ascii="Calibri" w:eastAsia="Times New Roman" w:hAnsi="Calibri" w:cs="Calibri"/>
                <w:sz w:val="20"/>
                <w:szCs w:val="20"/>
              </w:rPr>
              <w:t>Have an input rating of at least 4,000 Btu per hour per gallon of stored water.</w:t>
            </w:r>
          </w:p>
          <w:p w14:paraId="3B54ADF4" w14:textId="77777777" w:rsidR="00AE25E1" w:rsidRPr="00845AD0" w:rsidRDefault="00AE25E1" w:rsidP="00AE25E1">
            <w:pPr>
              <w:numPr>
                <w:ilvl w:val="1"/>
                <w:numId w:val="5"/>
              </w:numPr>
              <w:rPr>
                <w:rFonts w:ascii="Calibri" w:eastAsia="Times New Roman" w:hAnsi="Calibri" w:cs="Calibri"/>
                <w:sz w:val="20"/>
                <w:szCs w:val="20"/>
              </w:rPr>
            </w:pPr>
            <w:r w:rsidRPr="00845AD0">
              <w:rPr>
                <w:rFonts w:ascii="Calibri" w:eastAsia="Times New Roman" w:hAnsi="Calibri" w:cs="Calibri"/>
                <w:sz w:val="20"/>
                <w:szCs w:val="20"/>
              </w:rPr>
              <w:t>Never be used to supply hot water to a circulation loop</w:t>
            </w:r>
          </w:p>
          <w:p w14:paraId="3AA2443B" w14:textId="77777777" w:rsidR="002016E8" w:rsidRPr="002016E8" w:rsidRDefault="00AE25E1" w:rsidP="00AE25E1">
            <w:pPr>
              <w:jc w:val="both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845AD0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</w:p>
        </w:tc>
      </w:tr>
      <w:tr w:rsidR="002016E8" w:rsidRPr="002016E8" w14:paraId="436CC71B" w14:textId="77777777" w:rsidTr="005F1D5A">
        <w:trPr>
          <w:cantSplit/>
        </w:trPr>
        <w:tc>
          <w:tcPr>
            <w:tcW w:w="9350" w:type="dxa"/>
            <w:gridSpan w:val="2"/>
          </w:tcPr>
          <w:p w14:paraId="39927A5B" w14:textId="77777777" w:rsidR="002016E8" w:rsidRPr="002016E8" w:rsidRDefault="002016E8" w:rsidP="002016E8">
            <w:pPr>
              <w:rPr>
                <w:rFonts w:ascii="Calibri" w:eastAsia="Times New Roman" w:hAnsi="Calibri" w:cs="Arial"/>
                <w:sz w:val="20"/>
                <w:szCs w:val="20"/>
              </w:rPr>
            </w:pPr>
            <w:r w:rsidRPr="002016E8">
              <w:rPr>
                <w:rFonts w:ascii="Calibri" w:eastAsia="Times New Roman" w:hAnsi="Calibri" w:cs="Times New Roman"/>
                <w:b/>
                <w:szCs w:val="24"/>
              </w:rPr>
              <w:t>1.3 Installation Type and Delivery Mechanisms</w:t>
            </w:r>
          </w:p>
        </w:tc>
      </w:tr>
      <w:tr w:rsidR="002016E8" w:rsidRPr="002016E8" w14:paraId="4DD139AA" w14:textId="77777777" w:rsidTr="005F1D5A">
        <w:trPr>
          <w:cantSplit/>
        </w:trPr>
        <w:tc>
          <w:tcPr>
            <w:tcW w:w="1435" w:type="dxa"/>
            <w:vAlign w:val="center"/>
          </w:tcPr>
          <w:p w14:paraId="3F1F2CAD" w14:textId="77777777" w:rsidR="002016E8" w:rsidRPr="002016E8" w:rsidRDefault="002016E8" w:rsidP="002016E8">
            <w:pPr>
              <w:jc w:val="right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2016E8">
              <w:rPr>
                <w:rFonts w:ascii="Calibri" w:eastAsia="Times New Roman" w:hAnsi="Calibri" w:cs="Times New Roman"/>
                <w:sz w:val="20"/>
                <w:szCs w:val="20"/>
              </w:rPr>
              <w:t>Installation Type</w:t>
            </w:r>
          </w:p>
        </w:tc>
        <w:tc>
          <w:tcPr>
            <w:tcW w:w="7915" w:type="dxa"/>
          </w:tcPr>
          <w:p w14:paraId="2A01C8D5" w14:textId="77777777" w:rsidR="00A077D5" w:rsidRPr="00A077D5" w:rsidRDefault="00A077D5" w:rsidP="00A077D5">
            <w:pPr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A077D5">
              <w:rPr>
                <w:rFonts w:ascii="Calibri" w:eastAsia="Times New Roman" w:hAnsi="Calibri" w:cs="Times New Roman"/>
                <w:sz w:val="20"/>
                <w:szCs w:val="20"/>
              </w:rPr>
              <w:t>Replace on burnout (ROB):  1/1/18 – 12/31/18</w:t>
            </w:r>
          </w:p>
          <w:p w14:paraId="21826102" w14:textId="77777777" w:rsidR="00A077D5" w:rsidRPr="00A077D5" w:rsidRDefault="00A077D5" w:rsidP="00A077D5">
            <w:pPr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A077D5">
              <w:rPr>
                <w:rFonts w:ascii="Calibri" w:eastAsia="Times New Roman" w:hAnsi="Calibri" w:cs="Times New Roman"/>
                <w:sz w:val="20"/>
                <w:szCs w:val="20"/>
              </w:rPr>
              <w:t>Normal Replacement (NR):  1/1/19 – no expiry yet</w:t>
            </w:r>
          </w:p>
          <w:p w14:paraId="21D04419" w14:textId="77777777" w:rsidR="002016E8" w:rsidRPr="002016E8" w:rsidRDefault="002016E8" w:rsidP="002016E8">
            <w:pPr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</w:tr>
      <w:tr w:rsidR="002016E8" w:rsidRPr="002016E8" w14:paraId="225C5089" w14:textId="77777777" w:rsidTr="005F1D5A">
        <w:trPr>
          <w:cantSplit/>
        </w:trPr>
        <w:tc>
          <w:tcPr>
            <w:tcW w:w="1435" w:type="dxa"/>
            <w:vAlign w:val="center"/>
          </w:tcPr>
          <w:p w14:paraId="6E9E0CA4" w14:textId="77777777" w:rsidR="002016E8" w:rsidRPr="002016E8" w:rsidRDefault="002016E8" w:rsidP="002016E8">
            <w:pPr>
              <w:jc w:val="right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2016E8">
              <w:rPr>
                <w:rFonts w:ascii="Calibri" w:eastAsia="Times New Roman" w:hAnsi="Calibri" w:cs="Times New Roman"/>
                <w:sz w:val="20"/>
                <w:szCs w:val="20"/>
              </w:rPr>
              <w:t>Delivery Mechanisms</w:t>
            </w:r>
          </w:p>
        </w:tc>
        <w:tc>
          <w:tcPr>
            <w:tcW w:w="7915" w:type="dxa"/>
          </w:tcPr>
          <w:p w14:paraId="4057E045" w14:textId="77777777" w:rsidR="00A077D5" w:rsidRPr="00A077D5" w:rsidRDefault="00A077D5" w:rsidP="00A077D5">
            <w:pPr>
              <w:rPr>
                <w:rFonts w:ascii="Calibri" w:eastAsia="Times New Roman" w:hAnsi="Calibri" w:cs="Arial"/>
                <w:sz w:val="20"/>
                <w:szCs w:val="20"/>
              </w:rPr>
            </w:pPr>
            <w:proofErr w:type="spellStart"/>
            <w:r w:rsidRPr="00A077D5">
              <w:rPr>
                <w:rFonts w:ascii="Calibri" w:eastAsia="Times New Roman" w:hAnsi="Calibri" w:cs="Arial"/>
                <w:sz w:val="20"/>
                <w:szCs w:val="20"/>
              </w:rPr>
              <w:t>PreRebDown</w:t>
            </w:r>
            <w:proofErr w:type="spellEnd"/>
            <w:r w:rsidRPr="00A077D5">
              <w:rPr>
                <w:rFonts w:ascii="Calibri" w:eastAsia="Times New Roman" w:hAnsi="Calibri" w:cs="Arial"/>
                <w:sz w:val="20"/>
                <w:szCs w:val="20"/>
              </w:rPr>
              <w:t>:  1/1/18 – 12/31/18</w:t>
            </w:r>
          </w:p>
          <w:p w14:paraId="0643981A" w14:textId="77777777" w:rsidR="00A077D5" w:rsidRPr="00A077D5" w:rsidRDefault="00A077D5" w:rsidP="00A077D5">
            <w:pPr>
              <w:rPr>
                <w:rFonts w:ascii="Calibri" w:eastAsia="Times New Roman" w:hAnsi="Calibri" w:cs="Arial"/>
                <w:sz w:val="20"/>
                <w:szCs w:val="20"/>
              </w:rPr>
            </w:pPr>
            <w:proofErr w:type="spellStart"/>
            <w:r w:rsidRPr="00A077D5">
              <w:rPr>
                <w:rFonts w:ascii="Calibri" w:eastAsia="Times New Roman" w:hAnsi="Calibri" w:cs="Arial"/>
                <w:sz w:val="20"/>
                <w:szCs w:val="20"/>
              </w:rPr>
              <w:t>DnDeemed</w:t>
            </w:r>
            <w:proofErr w:type="spellEnd"/>
            <w:r w:rsidRPr="00A077D5">
              <w:rPr>
                <w:rFonts w:ascii="Calibri" w:eastAsia="Times New Roman" w:hAnsi="Calibri" w:cs="Arial"/>
                <w:sz w:val="20"/>
                <w:szCs w:val="20"/>
              </w:rPr>
              <w:t>:  1/1/19 – no expiry yet</w:t>
            </w:r>
          </w:p>
          <w:p w14:paraId="6A2ED989" w14:textId="77777777" w:rsidR="002016E8" w:rsidRPr="002016E8" w:rsidRDefault="002016E8" w:rsidP="002016E8">
            <w:pPr>
              <w:rPr>
                <w:rFonts w:ascii="Calibri" w:eastAsia="Times New Roman" w:hAnsi="Calibri" w:cs="Arial"/>
                <w:sz w:val="20"/>
                <w:szCs w:val="20"/>
              </w:rPr>
            </w:pPr>
          </w:p>
        </w:tc>
      </w:tr>
      <w:tr w:rsidR="002016E8" w:rsidRPr="002016E8" w14:paraId="3A1BB787" w14:textId="77777777" w:rsidTr="005F1D5A">
        <w:trPr>
          <w:cantSplit/>
        </w:trPr>
        <w:tc>
          <w:tcPr>
            <w:tcW w:w="9350" w:type="dxa"/>
            <w:gridSpan w:val="2"/>
          </w:tcPr>
          <w:p w14:paraId="4A8A6399" w14:textId="77777777" w:rsidR="002016E8" w:rsidRPr="002016E8" w:rsidRDefault="002016E8" w:rsidP="002016E8">
            <w:pPr>
              <w:rPr>
                <w:rFonts w:ascii="Calibri" w:eastAsia="Times New Roman" w:hAnsi="Calibri" w:cs="Times New Roman"/>
                <w:szCs w:val="24"/>
              </w:rPr>
            </w:pPr>
            <w:r w:rsidRPr="002016E8">
              <w:rPr>
                <w:rFonts w:ascii="Calibri" w:eastAsia="Times New Roman" w:hAnsi="Calibri" w:cs="Times New Roman"/>
                <w:b/>
                <w:szCs w:val="24"/>
              </w:rPr>
              <w:t>1.4.1 DEER Data</w:t>
            </w:r>
          </w:p>
        </w:tc>
      </w:tr>
      <w:tr w:rsidR="002016E8" w:rsidRPr="002016E8" w14:paraId="7913810D" w14:textId="77777777" w:rsidTr="005F1D5A">
        <w:trPr>
          <w:cantSplit/>
        </w:trPr>
        <w:tc>
          <w:tcPr>
            <w:tcW w:w="1435" w:type="dxa"/>
            <w:vAlign w:val="center"/>
          </w:tcPr>
          <w:p w14:paraId="545C92CE" w14:textId="77777777" w:rsidR="002016E8" w:rsidRPr="002016E8" w:rsidRDefault="002016E8" w:rsidP="002016E8">
            <w:pPr>
              <w:jc w:val="right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2016E8">
              <w:rPr>
                <w:rFonts w:ascii="Calibri" w:eastAsia="Times New Roman" w:hAnsi="Calibri" w:cs="Times New Roman"/>
                <w:sz w:val="20"/>
                <w:szCs w:val="20"/>
              </w:rPr>
              <w:t>Net-to-Gross Ratio</w:t>
            </w:r>
          </w:p>
        </w:tc>
        <w:tc>
          <w:tcPr>
            <w:tcW w:w="7915" w:type="dxa"/>
          </w:tcPr>
          <w:p w14:paraId="7E78BDBA" w14:textId="77777777" w:rsidR="002016E8" w:rsidRPr="002016E8" w:rsidRDefault="002016E8" w:rsidP="002016E8">
            <w:pPr>
              <w:tabs>
                <w:tab w:val="right" w:pos="6732"/>
              </w:tabs>
              <w:rPr>
                <w:rFonts w:ascii="Calibri" w:eastAsia="Times New Roman" w:hAnsi="Calibri" w:cs="Arial"/>
                <w:sz w:val="20"/>
                <w:szCs w:val="20"/>
              </w:rPr>
            </w:pPr>
            <w:r w:rsidRPr="002016E8">
              <w:rPr>
                <w:rFonts w:ascii="Calibri" w:eastAsia="Times New Roman" w:hAnsi="Calibri" w:cs="Arial"/>
                <w:sz w:val="20"/>
                <w:szCs w:val="20"/>
              </w:rPr>
              <w:t>Res-Default&gt;2</w:t>
            </w:r>
          </w:p>
        </w:tc>
      </w:tr>
      <w:tr w:rsidR="002016E8" w:rsidRPr="002016E8" w14:paraId="394E1B3F" w14:textId="77777777" w:rsidTr="005F1D5A">
        <w:trPr>
          <w:cantSplit/>
          <w:trHeight w:val="845"/>
        </w:trPr>
        <w:tc>
          <w:tcPr>
            <w:tcW w:w="1435" w:type="dxa"/>
            <w:vAlign w:val="center"/>
          </w:tcPr>
          <w:p w14:paraId="7C4AD2EB" w14:textId="77777777" w:rsidR="002016E8" w:rsidRPr="002016E8" w:rsidRDefault="002016E8" w:rsidP="002016E8">
            <w:pPr>
              <w:jc w:val="right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2016E8">
              <w:rPr>
                <w:rFonts w:ascii="Calibri" w:eastAsia="Times New Roman" w:hAnsi="Calibri" w:cs="Times New Roman"/>
                <w:sz w:val="20"/>
                <w:szCs w:val="20"/>
              </w:rPr>
              <w:lastRenderedPageBreak/>
              <w:t>Effective and Remaining Useful Life</w:t>
            </w:r>
          </w:p>
        </w:tc>
        <w:tc>
          <w:tcPr>
            <w:tcW w:w="7915" w:type="dxa"/>
          </w:tcPr>
          <w:p w14:paraId="5D8A83AB" w14:textId="77777777" w:rsidR="002016E8" w:rsidRPr="002016E8" w:rsidRDefault="002016E8" w:rsidP="002016E8">
            <w:pPr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  <w:p w14:paraId="25EA3288" w14:textId="77777777" w:rsidR="002016E8" w:rsidRPr="002016E8" w:rsidRDefault="002016E8" w:rsidP="002016E8">
            <w:pPr>
              <w:tabs>
                <w:tab w:val="right" w:pos="6732"/>
              </w:tabs>
              <w:rPr>
                <w:rFonts w:ascii="Calibri" w:eastAsia="Times New Roman" w:hAnsi="Calibri" w:cs="Arial"/>
                <w:sz w:val="20"/>
                <w:szCs w:val="20"/>
              </w:rPr>
            </w:pPr>
            <w:r w:rsidRPr="002016E8">
              <w:rPr>
                <w:rFonts w:ascii="Calibri" w:eastAsia="Times New Roman" w:hAnsi="Calibri" w:cs="Times New Roman"/>
                <w:noProof/>
                <w:szCs w:val="24"/>
              </w:rPr>
              <w:drawing>
                <wp:inline distT="0" distB="0" distL="0" distR="0" wp14:anchorId="6D6E79DA" wp14:editId="42459CF3">
                  <wp:extent cx="4351614" cy="412044"/>
                  <wp:effectExtent l="0" t="0" r="0" b="762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98474" cy="4164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4A1451A" w14:textId="77777777" w:rsidR="002016E8" w:rsidRPr="002016E8" w:rsidRDefault="002016E8" w:rsidP="002016E8">
            <w:pPr>
              <w:tabs>
                <w:tab w:val="right" w:pos="6732"/>
              </w:tabs>
              <w:rPr>
                <w:rFonts w:ascii="Calibri" w:eastAsia="Times New Roman" w:hAnsi="Calibri" w:cs="Arial"/>
                <w:sz w:val="20"/>
                <w:szCs w:val="20"/>
              </w:rPr>
            </w:pPr>
          </w:p>
          <w:p w14:paraId="59E4CB0A" w14:textId="77777777" w:rsidR="002016E8" w:rsidRPr="002016E8" w:rsidRDefault="002016E8" w:rsidP="002016E8">
            <w:pPr>
              <w:tabs>
                <w:tab w:val="right" w:pos="6732"/>
              </w:tabs>
              <w:rPr>
                <w:rFonts w:ascii="Calibri" w:eastAsia="Times New Roman" w:hAnsi="Calibri" w:cs="Arial"/>
                <w:sz w:val="20"/>
                <w:szCs w:val="20"/>
              </w:rPr>
            </w:pPr>
          </w:p>
        </w:tc>
      </w:tr>
      <w:tr w:rsidR="002016E8" w:rsidRPr="002016E8" w14:paraId="6DCE1922" w14:textId="77777777" w:rsidTr="005F1D5A">
        <w:trPr>
          <w:cantSplit/>
          <w:trHeight w:val="287"/>
        </w:trPr>
        <w:tc>
          <w:tcPr>
            <w:tcW w:w="1435" w:type="dxa"/>
            <w:vAlign w:val="center"/>
          </w:tcPr>
          <w:p w14:paraId="047806D9" w14:textId="77777777" w:rsidR="002016E8" w:rsidRPr="002016E8" w:rsidRDefault="002016E8" w:rsidP="002016E8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2016E8">
              <w:rPr>
                <w:rFonts w:ascii="Calibri" w:eastAsia="Times New Roman" w:hAnsi="Calibri" w:cs="Times New Roman"/>
                <w:sz w:val="20"/>
                <w:szCs w:val="20"/>
              </w:rPr>
              <w:t>GSIA</w:t>
            </w:r>
          </w:p>
        </w:tc>
        <w:tc>
          <w:tcPr>
            <w:tcW w:w="7915" w:type="dxa"/>
          </w:tcPr>
          <w:p w14:paraId="0BAB66D6" w14:textId="77777777" w:rsidR="002016E8" w:rsidRPr="002016E8" w:rsidRDefault="002016E8" w:rsidP="002016E8">
            <w:pPr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2016E8">
              <w:rPr>
                <w:rFonts w:ascii="Calibri" w:eastAsia="Times New Roman" w:hAnsi="Calibri" w:cs="Times New Roman"/>
                <w:noProof/>
                <w:sz w:val="20"/>
                <w:szCs w:val="20"/>
              </w:rPr>
              <w:drawing>
                <wp:inline distT="0" distB="0" distL="0" distR="0" wp14:anchorId="03A300C1" wp14:editId="1F60A3DD">
                  <wp:extent cx="4857750" cy="318919"/>
                  <wp:effectExtent l="0" t="0" r="0" b="5080"/>
                  <wp:docPr id="10" name="Picture 10" descr="Screen Clippi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460754A.tmp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154195" cy="3383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994D577" w14:textId="77777777" w:rsidR="002016E8" w:rsidRPr="002016E8" w:rsidRDefault="002016E8" w:rsidP="002016E8">
            <w:pPr>
              <w:rPr>
                <w:rFonts w:ascii="Calibri" w:eastAsia="Times New Roman" w:hAnsi="Calibri" w:cs="Arial"/>
                <w:sz w:val="20"/>
                <w:szCs w:val="20"/>
              </w:rPr>
            </w:pPr>
          </w:p>
        </w:tc>
      </w:tr>
      <w:tr w:rsidR="002016E8" w:rsidRPr="002016E8" w14:paraId="253281DB" w14:textId="77777777" w:rsidTr="005F1D5A">
        <w:trPr>
          <w:cantSplit/>
          <w:trHeight w:val="458"/>
        </w:trPr>
        <w:tc>
          <w:tcPr>
            <w:tcW w:w="9350" w:type="dxa"/>
            <w:gridSpan w:val="2"/>
            <w:vAlign w:val="center"/>
          </w:tcPr>
          <w:p w14:paraId="16A72491" w14:textId="77777777" w:rsidR="002016E8" w:rsidRPr="002016E8" w:rsidRDefault="002016E8" w:rsidP="002016E8">
            <w:pPr>
              <w:rPr>
                <w:rFonts w:ascii="Calibri" w:eastAsia="Times New Roman" w:hAnsi="Calibri" w:cs="Arial"/>
                <w:sz w:val="20"/>
                <w:szCs w:val="20"/>
              </w:rPr>
            </w:pPr>
            <w:r w:rsidRPr="002016E8">
              <w:rPr>
                <w:rFonts w:ascii="Calibri" w:eastAsia="Times New Roman" w:hAnsi="Calibri" w:cs="Times New Roman"/>
                <w:b/>
                <w:szCs w:val="24"/>
              </w:rPr>
              <w:t>Section 2. Calculation Methodology</w:t>
            </w:r>
          </w:p>
        </w:tc>
      </w:tr>
      <w:tr w:rsidR="002016E8" w:rsidRPr="002016E8" w14:paraId="36CAE410" w14:textId="77777777" w:rsidTr="005F1D5A">
        <w:trPr>
          <w:cantSplit/>
        </w:trPr>
        <w:tc>
          <w:tcPr>
            <w:tcW w:w="1435" w:type="dxa"/>
            <w:vAlign w:val="center"/>
          </w:tcPr>
          <w:p w14:paraId="1DAC645C" w14:textId="77777777" w:rsidR="002016E8" w:rsidRPr="002016E8" w:rsidRDefault="002016E8" w:rsidP="002016E8">
            <w:pPr>
              <w:jc w:val="right"/>
              <w:rPr>
                <w:rFonts w:ascii="Calibri" w:eastAsia="Times New Roman" w:hAnsi="Calibri" w:cs="Times New Roman"/>
                <w:szCs w:val="24"/>
              </w:rPr>
            </w:pPr>
            <w:r w:rsidRPr="002016E8">
              <w:rPr>
                <w:rFonts w:ascii="Calibri" w:eastAsia="Times New Roman" w:hAnsi="Calibri" w:cs="Arial"/>
                <w:sz w:val="20"/>
                <w:szCs w:val="20"/>
              </w:rPr>
              <w:t>Energy Savings/Peak Demand Reduction – All Measures</w:t>
            </w:r>
          </w:p>
        </w:tc>
        <w:tc>
          <w:tcPr>
            <w:tcW w:w="7915" w:type="dxa"/>
          </w:tcPr>
          <w:p w14:paraId="12CBFD8E" w14:textId="1F1DB65E" w:rsidR="002016E8" w:rsidRPr="002016E8" w:rsidRDefault="00CE143C" w:rsidP="00CE143C">
            <w:pPr>
              <w:spacing w:before="40" w:after="40"/>
              <w:rPr>
                <w:rFonts w:ascii="Calibri" w:eastAsia="Times New Roman" w:hAnsi="Calibri" w:cs="Times New Roman"/>
                <w:szCs w:val="24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 xml:space="preserve">All energy efficiency savings impacts are being adopted from READI v2.5.1 tool for DEER 2019 </w:t>
            </w:r>
            <w:proofErr w:type="spellStart"/>
            <w:r>
              <w:rPr>
                <w:rFonts w:ascii="Calibri" w:eastAsia="Times New Roman" w:hAnsi="Calibri" w:cs="Times New Roman"/>
                <w:sz w:val="20"/>
                <w:szCs w:val="20"/>
              </w:rPr>
              <w:t>MeasureIDs</w:t>
            </w:r>
            <w:proofErr w:type="spellEnd"/>
            <w:r>
              <w:rPr>
                <w:rFonts w:ascii="Calibri" w:eastAsia="Times New Roman" w:hAnsi="Calibri" w:cs="Times New Roman"/>
                <w:sz w:val="20"/>
                <w:szCs w:val="20"/>
              </w:rPr>
              <w:t xml:space="preserve"> associated for residential tankless water heaters (rated under 175kBTUh) that were developed from the latest version of the DEER 2019 Water Heating Calculator. </w:t>
            </w:r>
          </w:p>
        </w:tc>
      </w:tr>
      <w:tr w:rsidR="002016E8" w:rsidRPr="002016E8" w14:paraId="1D716D70" w14:textId="77777777" w:rsidTr="005F1D5A">
        <w:trPr>
          <w:cantSplit/>
        </w:trPr>
        <w:tc>
          <w:tcPr>
            <w:tcW w:w="9350" w:type="dxa"/>
            <w:gridSpan w:val="2"/>
            <w:vAlign w:val="center"/>
          </w:tcPr>
          <w:p w14:paraId="209C0B7D" w14:textId="77777777" w:rsidR="002016E8" w:rsidRPr="002016E8" w:rsidRDefault="002016E8" w:rsidP="002016E8">
            <w:pPr>
              <w:tabs>
                <w:tab w:val="right" w:pos="6732"/>
              </w:tabs>
              <w:rPr>
                <w:rFonts w:ascii="Calibri" w:eastAsia="Times New Roman" w:hAnsi="Calibri" w:cs="Arial"/>
                <w:sz w:val="20"/>
                <w:szCs w:val="20"/>
              </w:rPr>
            </w:pPr>
            <w:r w:rsidRPr="002016E8">
              <w:rPr>
                <w:rFonts w:ascii="Calibri" w:eastAsia="Times New Roman" w:hAnsi="Calibri" w:cs="Times New Roman"/>
                <w:b/>
                <w:szCs w:val="24"/>
              </w:rPr>
              <w:t>Section 3. Load Shapes</w:t>
            </w:r>
          </w:p>
        </w:tc>
      </w:tr>
      <w:tr w:rsidR="002016E8" w:rsidRPr="002016E8" w14:paraId="1B404DD0" w14:textId="77777777" w:rsidTr="005F1D5A">
        <w:trPr>
          <w:cantSplit/>
        </w:trPr>
        <w:tc>
          <w:tcPr>
            <w:tcW w:w="1435" w:type="dxa"/>
            <w:vAlign w:val="center"/>
          </w:tcPr>
          <w:p w14:paraId="23802FEA" w14:textId="77777777" w:rsidR="002016E8" w:rsidRPr="002016E8" w:rsidRDefault="002016E8" w:rsidP="002016E8">
            <w:pPr>
              <w:rPr>
                <w:rFonts w:ascii="Calibri" w:eastAsia="Times New Roman" w:hAnsi="Calibri" w:cs="Times New Roman"/>
                <w:szCs w:val="24"/>
              </w:rPr>
            </w:pPr>
            <w:r w:rsidRPr="002016E8">
              <w:rPr>
                <w:rFonts w:ascii="Calibri" w:eastAsia="Times New Roman" w:hAnsi="Calibri" w:cs="Times New Roman"/>
                <w:szCs w:val="24"/>
              </w:rPr>
              <w:t>Load Shape</w:t>
            </w:r>
          </w:p>
        </w:tc>
        <w:tc>
          <w:tcPr>
            <w:tcW w:w="7915" w:type="dxa"/>
          </w:tcPr>
          <w:p w14:paraId="07BAEFC4" w14:textId="77777777" w:rsidR="00946295" w:rsidRPr="00946295" w:rsidRDefault="00946295" w:rsidP="00946295">
            <w:pPr>
              <w:tabs>
                <w:tab w:val="right" w:pos="6732"/>
              </w:tabs>
              <w:rPr>
                <w:rFonts w:ascii="Calibri" w:eastAsia="Times New Roman" w:hAnsi="Calibri" w:cs="Calibri"/>
                <w:bCs/>
                <w:sz w:val="20"/>
                <w:szCs w:val="24"/>
              </w:rPr>
            </w:pPr>
            <w:proofErr w:type="spellStart"/>
            <w:proofErr w:type="gramStart"/>
            <w:r w:rsidRPr="00946295">
              <w:rPr>
                <w:rFonts w:ascii="Calibri" w:eastAsia="Times New Roman" w:hAnsi="Calibri" w:cs="Calibri"/>
                <w:bCs/>
                <w:sz w:val="20"/>
                <w:szCs w:val="24"/>
              </w:rPr>
              <w:t>SDGE:DEER</w:t>
            </w:r>
            <w:proofErr w:type="gramEnd"/>
            <w:r w:rsidRPr="00946295">
              <w:rPr>
                <w:rFonts w:ascii="Calibri" w:eastAsia="Times New Roman" w:hAnsi="Calibri" w:cs="Calibri"/>
                <w:bCs/>
                <w:sz w:val="20"/>
                <w:szCs w:val="24"/>
              </w:rPr>
              <w:t>:Res:ClothesDishWasher</w:t>
            </w:r>
            <w:proofErr w:type="spellEnd"/>
            <w:r w:rsidRPr="00946295">
              <w:rPr>
                <w:rFonts w:ascii="Calibri" w:eastAsia="Times New Roman" w:hAnsi="Calibri" w:cs="Calibri"/>
                <w:bCs/>
                <w:sz w:val="20"/>
                <w:szCs w:val="24"/>
              </w:rPr>
              <w:t xml:space="preserve"> </w:t>
            </w:r>
          </w:p>
          <w:p w14:paraId="298CD7D2" w14:textId="77777777" w:rsidR="002016E8" w:rsidRPr="002016E8" w:rsidRDefault="00946295" w:rsidP="00946295">
            <w:pPr>
              <w:tabs>
                <w:tab w:val="right" w:pos="6732"/>
              </w:tabs>
              <w:rPr>
                <w:rFonts w:ascii="Calibri" w:eastAsia="Times New Roman" w:hAnsi="Calibri" w:cs="Calibri"/>
                <w:bCs/>
                <w:sz w:val="20"/>
                <w:szCs w:val="24"/>
              </w:rPr>
            </w:pPr>
            <w:r w:rsidRPr="00946295">
              <w:rPr>
                <w:rFonts w:ascii="Calibri" w:eastAsia="Times New Roman" w:hAnsi="Calibri" w:cs="Calibri"/>
                <w:bCs/>
                <w:sz w:val="20"/>
                <w:szCs w:val="24"/>
              </w:rPr>
              <w:t xml:space="preserve">Annual  </w:t>
            </w:r>
          </w:p>
        </w:tc>
      </w:tr>
      <w:tr w:rsidR="002016E8" w:rsidRPr="002016E8" w14:paraId="4DA1B27C" w14:textId="77777777" w:rsidTr="005F1D5A">
        <w:trPr>
          <w:cantSplit/>
        </w:trPr>
        <w:tc>
          <w:tcPr>
            <w:tcW w:w="9350" w:type="dxa"/>
            <w:gridSpan w:val="2"/>
            <w:vAlign w:val="center"/>
          </w:tcPr>
          <w:p w14:paraId="0CF5D2B9" w14:textId="77777777" w:rsidR="002016E8" w:rsidRPr="002016E8" w:rsidRDefault="002016E8" w:rsidP="002016E8">
            <w:pPr>
              <w:tabs>
                <w:tab w:val="right" w:pos="6732"/>
              </w:tabs>
              <w:rPr>
                <w:rFonts w:ascii="Calibri" w:eastAsia="Times New Roman" w:hAnsi="Calibri" w:cs="Calibri"/>
                <w:bCs/>
                <w:sz w:val="20"/>
                <w:szCs w:val="24"/>
              </w:rPr>
            </w:pPr>
            <w:r w:rsidRPr="002016E8">
              <w:rPr>
                <w:rFonts w:ascii="Calibri" w:eastAsia="Times New Roman" w:hAnsi="Calibri" w:cs="Times New Roman"/>
                <w:b/>
                <w:szCs w:val="24"/>
              </w:rPr>
              <w:t>Section 4. Cost</w:t>
            </w:r>
          </w:p>
        </w:tc>
      </w:tr>
      <w:tr w:rsidR="002016E8" w:rsidRPr="002016E8" w14:paraId="45D60566" w14:textId="77777777" w:rsidTr="005F1D5A">
        <w:trPr>
          <w:cantSplit/>
          <w:trHeight w:val="377"/>
        </w:trPr>
        <w:tc>
          <w:tcPr>
            <w:tcW w:w="9350" w:type="dxa"/>
            <w:gridSpan w:val="2"/>
            <w:vAlign w:val="center"/>
          </w:tcPr>
          <w:p w14:paraId="4F49307D" w14:textId="77777777" w:rsidR="002016E8" w:rsidRPr="002016E8" w:rsidRDefault="002016E8" w:rsidP="002016E8">
            <w:pPr>
              <w:tabs>
                <w:tab w:val="right" w:pos="6732"/>
              </w:tabs>
              <w:rPr>
                <w:rFonts w:ascii="Calibri" w:eastAsia="Times New Roman" w:hAnsi="Calibri" w:cs="Times New Roman"/>
                <w:b/>
                <w:szCs w:val="24"/>
              </w:rPr>
            </w:pPr>
            <w:r w:rsidRPr="002016E8">
              <w:rPr>
                <w:rFonts w:ascii="Calibri" w:eastAsia="Times New Roman" w:hAnsi="Calibri" w:cs="Times New Roman"/>
                <w:b/>
                <w:szCs w:val="24"/>
              </w:rPr>
              <w:t>Section 4.1 Base and Measure Costs</w:t>
            </w:r>
          </w:p>
        </w:tc>
      </w:tr>
      <w:tr w:rsidR="002016E8" w:rsidRPr="002016E8" w14:paraId="12670BCF" w14:textId="77777777" w:rsidTr="005F1D5A">
        <w:trPr>
          <w:cantSplit/>
        </w:trPr>
        <w:tc>
          <w:tcPr>
            <w:tcW w:w="1435" w:type="dxa"/>
          </w:tcPr>
          <w:p w14:paraId="3E99F9AA" w14:textId="77777777" w:rsidR="002016E8" w:rsidRPr="002016E8" w:rsidRDefault="002016E8" w:rsidP="002016E8">
            <w:pPr>
              <w:rPr>
                <w:rFonts w:ascii="Calibri" w:eastAsia="Times New Roman" w:hAnsi="Calibri" w:cs="Times New Roman"/>
                <w:szCs w:val="24"/>
              </w:rPr>
            </w:pPr>
            <w:r w:rsidRPr="002016E8">
              <w:rPr>
                <w:rFonts w:ascii="Calibri" w:eastAsia="Times New Roman" w:hAnsi="Calibri" w:cs="Times New Roman"/>
                <w:szCs w:val="24"/>
              </w:rPr>
              <w:t>Base Cost</w:t>
            </w:r>
          </w:p>
        </w:tc>
        <w:tc>
          <w:tcPr>
            <w:tcW w:w="7915" w:type="dxa"/>
          </w:tcPr>
          <w:p w14:paraId="340BBFE8" w14:textId="77777777" w:rsidR="00946295" w:rsidRPr="00946295" w:rsidRDefault="00946295" w:rsidP="00946295">
            <w:pPr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946295">
              <w:rPr>
                <w:rFonts w:ascii="Calibri" w:eastAsia="Times New Roman" w:hAnsi="Calibri" w:cs="Times New Roman"/>
                <w:sz w:val="20"/>
                <w:szCs w:val="20"/>
              </w:rPr>
              <w:t xml:space="preserve">Please </w:t>
            </w:r>
            <w:r>
              <w:rPr>
                <w:rFonts w:ascii="Calibri" w:eastAsia="Times New Roman" w:hAnsi="Calibri" w:cs="Times New Roman"/>
                <w:sz w:val="20"/>
                <w:szCs w:val="20"/>
              </w:rPr>
              <w:t>reference WPSCGREWH120919A-Rev4</w:t>
            </w:r>
            <w:r w:rsidRPr="00946295">
              <w:rPr>
                <w:rFonts w:ascii="Calibri" w:eastAsia="Times New Roman" w:hAnsi="Calibri" w:cs="Times New Roman"/>
                <w:sz w:val="20"/>
                <w:szCs w:val="20"/>
              </w:rPr>
              <w:t xml:space="preserve"> Section 4.1 Base Case Cost for details on how baseline cost estimates were determined. </w:t>
            </w:r>
          </w:p>
          <w:p w14:paraId="41CDF642" w14:textId="77777777" w:rsidR="00946295" w:rsidRPr="00946295" w:rsidRDefault="00946295" w:rsidP="00946295">
            <w:pPr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  <w:p w14:paraId="156D06B0" w14:textId="77777777" w:rsidR="00946295" w:rsidRPr="00946295" w:rsidRDefault="00946295" w:rsidP="00946295">
            <w:pPr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946295">
              <w:rPr>
                <w:rFonts w:ascii="Calibri" w:eastAsia="Times New Roman" w:hAnsi="Calibri" w:cs="Times New Roman"/>
                <w:sz w:val="20"/>
                <w:szCs w:val="20"/>
              </w:rPr>
              <w:t xml:space="preserve">SDG&amp;E adopts all cost and created SDG&amp;E measure cost IDs for reporting purposes. SDG&amp;E measure cost IDs are included in Ex-Ante tables submission. </w:t>
            </w:r>
          </w:p>
          <w:p w14:paraId="12A65712" w14:textId="77777777" w:rsidR="002016E8" w:rsidRPr="002016E8" w:rsidRDefault="002016E8" w:rsidP="002016E8">
            <w:pPr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</w:tr>
      <w:tr w:rsidR="002016E8" w:rsidRPr="002016E8" w14:paraId="1B7577E1" w14:textId="77777777" w:rsidTr="005F1D5A">
        <w:trPr>
          <w:cantSplit/>
        </w:trPr>
        <w:tc>
          <w:tcPr>
            <w:tcW w:w="1435" w:type="dxa"/>
          </w:tcPr>
          <w:p w14:paraId="163CB581" w14:textId="77777777" w:rsidR="002016E8" w:rsidRPr="002016E8" w:rsidRDefault="002016E8" w:rsidP="002016E8">
            <w:pPr>
              <w:rPr>
                <w:rFonts w:ascii="Calibri" w:eastAsia="Times New Roman" w:hAnsi="Calibri" w:cs="Times New Roman"/>
                <w:szCs w:val="24"/>
              </w:rPr>
            </w:pPr>
            <w:r w:rsidRPr="002016E8">
              <w:rPr>
                <w:rFonts w:ascii="Calibri" w:eastAsia="Times New Roman" w:hAnsi="Calibri" w:cs="Times New Roman"/>
                <w:szCs w:val="24"/>
              </w:rPr>
              <w:t xml:space="preserve">Measure Cost </w:t>
            </w:r>
          </w:p>
        </w:tc>
        <w:tc>
          <w:tcPr>
            <w:tcW w:w="7915" w:type="dxa"/>
          </w:tcPr>
          <w:p w14:paraId="320BDD45" w14:textId="77777777" w:rsidR="00946295" w:rsidRPr="00946295" w:rsidRDefault="00946295" w:rsidP="00946295">
            <w:pPr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946295">
              <w:rPr>
                <w:rFonts w:ascii="Calibri" w:eastAsia="Times New Roman" w:hAnsi="Calibri" w:cs="Times New Roman"/>
                <w:sz w:val="20"/>
                <w:szCs w:val="20"/>
              </w:rPr>
              <w:t xml:space="preserve">Please reference WPSCGREWH120919A-Rev4 </w:t>
            </w:r>
            <w:r>
              <w:rPr>
                <w:rFonts w:ascii="Calibri" w:eastAsia="Times New Roman" w:hAnsi="Calibri" w:cs="Times New Roman"/>
                <w:sz w:val="20"/>
                <w:szCs w:val="20"/>
              </w:rPr>
              <w:t>Section 4.2 Measure</w:t>
            </w:r>
            <w:r w:rsidRPr="00946295">
              <w:rPr>
                <w:rFonts w:ascii="Calibri" w:eastAsia="Times New Roman" w:hAnsi="Calibri" w:cs="Times New Roman"/>
                <w:sz w:val="20"/>
                <w:szCs w:val="20"/>
              </w:rPr>
              <w:t xml:space="preserve"> Case </w:t>
            </w:r>
            <w:r>
              <w:rPr>
                <w:rFonts w:ascii="Calibri" w:eastAsia="Times New Roman" w:hAnsi="Calibri" w:cs="Times New Roman"/>
                <w:sz w:val="20"/>
                <w:szCs w:val="20"/>
              </w:rPr>
              <w:t>Cost for details on how measure</w:t>
            </w:r>
            <w:r w:rsidRPr="00946295">
              <w:rPr>
                <w:rFonts w:ascii="Calibri" w:eastAsia="Times New Roman" w:hAnsi="Calibri" w:cs="Times New Roman"/>
                <w:sz w:val="20"/>
                <w:szCs w:val="20"/>
              </w:rPr>
              <w:t xml:space="preserve"> cost estimates were determined. </w:t>
            </w:r>
          </w:p>
          <w:p w14:paraId="0C347DE1" w14:textId="77777777" w:rsidR="00946295" w:rsidRPr="00946295" w:rsidRDefault="00946295" w:rsidP="00946295">
            <w:pPr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  <w:p w14:paraId="54CDE419" w14:textId="77777777" w:rsidR="00946295" w:rsidRPr="00946295" w:rsidRDefault="00946295" w:rsidP="00946295">
            <w:pPr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946295">
              <w:rPr>
                <w:rFonts w:ascii="Calibri" w:eastAsia="Times New Roman" w:hAnsi="Calibri" w:cs="Times New Roman"/>
                <w:sz w:val="20"/>
                <w:szCs w:val="20"/>
              </w:rPr>
              <w:t xml:space="preserve">SDG&amp;E adopts all cost and created SDG&amp;E measure cost IDs for reporting purposes. SDG&amp;E measure cost IDs are included in Ex-Ante tables submission. </w:t>
            </w:r>
          </w:p>
          <w:p w14:paraId="79B4783B" w14:textId="77777777" w:rsidR="002016E8" w:rsidRPr="002016E8" w:rsidRDefault="002016E8" w:rsidP="00946295">
            <w:pPr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</w:tr>
    </w:tbl>
    <w:p w14:paraId="0484C3BD" w14:textId="77777777" w:rsidR="002016E8" w:rsidRPr="002016E8" w:rsidRDefault="002016E8" w:rsidP="002016E8">
      <w:pPr>
        <w:spacing w:after="0" w:line="240" w:lineRule="auto"/>
        <w:rPr>
          <w:rFonts w:ascii="Calibri" w:eastAsia="Times New Roman" w:hAnsi="Calibri" w:cs="Times New Roman"/>
          <w:szCs w:val="24"/>
        </w:rPr>
      </w:pPr>
    </w:p>
    <w:p w14:paraId="7455EAB2" w14:textId="77777777" w:rsidR="002016E8" w:rsidRPr="002016E8" w:rsidRDefault="002016E8" w:rsidP="002016E8">
      <w:pPr>
        <w:spacing w:after="0" w:line="240" w:lineRule="auto"/>
        <w:rPr>
          <w:rFonts w:ascii="Calibri" w:eastAsia="Times New Roman" w:hAnsi="Calibri" w:cs="Times New Roman"/>
          <w:szCs w:val="24"/>
        </w:rPr>
      </w:pPr>
    </w:p>
    <w:p w14:paraId="1F19A1FB" w14:textId="77777777" w:rsidR="002016E8" w:rsidRPr="002016E8" w:rsidRDefault="002016E8" w:rsidP="002016E8">
      <w:pPr>
        <w:spacing w:after="0" w:line="240" w:lineRule="auto"/>
        <w:rPr>
          <w:rFonts w:ascii="Calibri" w:eastAsia="Times New Roman" w:hAnsi="Calibri" w:cs="Times New Roman"/>
          <w:szCs w:val="24"/>
        </w:rPr>
      </w:pPr>
    </w:p>
    <w:p w14:paraId="3567E2A4" w14:textId="77777777" w:rsidR="00935569" w:rsidRDefault="00935569"/>
    <w:sectPr w:rsidR="0093556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D697D77" w14:textId="77777777" w:rsidR="00737B7E" w:rsidRDefault="00737B7E" w:rsidP="00737B7E">
      <w:pPr>
        <w:spacing w:after="0" w:line="240" w:lineRule="auto"/>
      </w:pPr>
      <w:r>
        <w:separator/>
      </w:r>
    </w:p>
  </w:endnote>
  <w:endnote w:type="continuationSeparator" w:id="0">
    <w:p w14:paraId="6F1D3E47" w14:textId="77777777" w:rsidR="00737B7E" w:rsidRDefault="00737B7E" w:rsidP="00737B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07C0C9" w14:textId="7FF54526" w:rsidR="008662E2" w:rsidRPr="002016E8" w:rsidRDefault="00946295" w:rsidP="00241A1F">
    <w:pPr>
      <w:pStyle w:val="Footer"/>
      <w:rPr>
        <w:rFonts w:cs="Calibri"/>
        <w:b/>
        <w:szCs w:val="22"/>
      </w:rPr>
    </w:pPr>
    <w:r w:rsidRPr="002016E8">
      <w:rPr>
        <w:rFonts w:cs="Calibri"/>
        <w:b/>
        <w:szCs w:val="22"/>
      </w:rPr>
      <w:t xml:space="preserve">Workpaper </w:t>
    </w:r>
    <w:r w:rsidRPr="00530442">
      <w:rPr>
        <w:b/>
      </w:rPr>
      <w:t>WPSDGE</w:t>
    </w:r>
    <w:r>
      <w:rPr>
        <w:b/>
      </w:rPr>
      <w:t>REWH0025</w:t>
    </w:r>
    <w:r w:rsidR="00737B7E">
      <w:rPr>
        <w:rFonts w:cs="Calibri"/>
        <w:b/>
        <w:szCs w:val="22"/>
      </w:rPr>
      <w:t xml:space="preserve">, Revision </w:t>
    </w:r>
    <w:r w:rsidR="00A84121">
      <w:rPr>
        <w:rFonts w:cs="Calibri"/>
        <w:b/>
        <w:szCs w:val="22"/>
      </w:rPr>
      <w:t>2</w:t>
    </w:r>
    <w:r w:rsidRPr="002016E8">
      <w:rPr>
        <w:rFonts w:cs="Calibri"/>
        <w:b/>
        <w:szCs w:val="22"/>
      </w:rPr>
      <w:tab/>
    </w:r>
    <w:r w:rsidRPr="002016E8">
      <w:rPr>
        <w:rFonts w:cs="Calibri"/>
        <w:b/>
        <w:szCs w:val="22"/>
      </w:rPr>
      <w:tab/>
    </w:r>
    <w:r w:rsidR="00A84121">
      <w:rPr>
        <w:rFonts w:cs="Calibri"/>
        <w:b/>
        <w:szCs w:val="22"/>
      </w:rPr>
      <w:t xml:space="preserve">February </w:t>
    </w:r>
    <w:r w:rsidR="00737B7E">
      <w:rPr>
        <w:rFonts w:cs="Calibri"/>
        <w:b/>
        <w:szCs w:val="22"/>
      </w:rPr>
      <w:t>28</w:t>
    </w:r>
    <w:r w:rsidRPr="002016E8">
      <w:rPr>
        <w:rFonts w:cs="Calibri"/>
        <w:b/>
        <w:szCs w:val="22"/>
      </w:rPr>
      <w:t>, 201</w:t>
    </w:r>
    <w:r w:rsidR="00A84121">
      <w:rPr>
        <w:rFonts w:cs="Calibri"/>
        <w:b/>
        <w:szCs w:val="22"/>
      </w:rPr>
      <w:t>9</w:t>
    </w:r>
  </w:p>
  <w:p w14:paraId="667B9D5C" w14:textId="77777777" w:rsidR="008662E2" w:rsidRPr="002016E8" w:rsidRDefault="00946295" w:rsidP="00241A1F">
    <w:pPr>
      <w:pStyle w:val="Footer"/>
      <w:tabs>
        <w:tab w:val="clear" w:pos="4680"/>
        <w:tab w:val="clear" w:pos="9360"/>
        <w:tab w:val="left" w:pos="5274"/>
      </w:tabs>
      <w:rPr>
        <w:rFonts w:cs="Calibri"/>
      </w:rPr>
    </w:pPr>
    <w:r w:rsidRPr="002016E8">
      <w:rPr>
        <w:rFonts w:cs="Calibri"/>
        <w:b/>
        <w:szCs w:val="22"/>
      </w:rPr>
      <w:t>San Diego Gas &amp; Electric</w:t>
    </w:r>
    <w:r>
      <w:rPr>
        <w:b/>
      </w:rPr>
      <w:tab/>
    </w:r>
    <w:r w:rsidRPr="00C7215A">
      <w:rPr>
        <w:b/>
      </w:rPr>
      <w:fldChar w:fldCharType="begin"/>
    </w:r>
    <w:r w:rsidRPr="00C7215A">
      <w:rPr>
        <w:b/>
      </w:rPr>
      <w:instrText xml:space="preserve"> PAGE   \* MERGEFORMAT </w:instrText>
    </w:r>
    <w:r w:rsidRPr="00C7215A">
      <w:rPr>
        <w:b/>
      </w:rPr>
      <w:fldChar w:fldCharType="separate"/>
    </w:r>
    <w:r>
      <w:rPr>
        <w:b/>
        <w:noProof/>
      </w:rPr>
      <w:t>2</w:t>
    </w:r>
    <w:r w:rsidRPr="00C7215A">
      <w:rPr>
        <w:b/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97B0E28" w14:textId="77777777" w:rsidR="00737B7E" w:rsidRDefault="00737B7E" w:rsidP="00737B7E">
      <w:pPr>
        <w:spacing w:after="0" w:line="240" w:lineRule="auto"/>
      </w:pPr>
      <w:r>
        <w:separator/>
      </w:r>
    </w:p>
  </w:footnote>
  <w:footnote w:type="continuationSeparator" w:id="0">
    <w:p w14:paraId="49312D1B" w14:textId="77777777" w:rsidR="00737B7E" w:rsidRDefault="00737B7E" w:rsidP="00737B7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855D4"/>
    <w:multiLevelType w:val="hybridMultilevel"/>
    <w:tmpl w:val="B6823C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4964E2"/>
    <w:multiLevelType w:val="hybridMultilevel"/>
    <w:tmpl w:val="E44CD7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20703EF"/>
    <w:multiLevelType w:val="hybridMultilevel"/>
    <w:tmpl w:val="5A92E7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7624542">
      <w:numFmt w:val="bullet"/>
      <w:lvlText w:val=""/>
      <w:lvlJc w:val="left"/>
      <w:pPr>
        <w:ind w:left="2160" w:hanging="360"/>
      </w:pPr>
      <w:rPr>
        <w:rFonts w:ascii="Wingdings" w:eastAsia="Times New Roman" w:hAnsi="Wingdings" w:cstheme="minorHAnsi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27977FE"/>
    <w:multiLevelType w:val="hybridMultilevel"/>
    <w:tmpl w:val="5736182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66C279D3"/>
    <w:multiLevelType w:val="hybridMultilevel"/>
    <w:tmpl w:val="DB2221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D7F7BB4"/>
    <w:multiLevelType w:val="hybridMultilevel"/>
    <w:tmpl w:val="7FDA754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1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16E8"/>
    <w:rsid w:val="00034EF0"/>
    <w:rsid w:val="002016E8"/>
    <w:rsid w:val="00362737"/>
    <w:rsid w:val="00375E17"/>
    <w:rsid w:val="003D7DF8"/>
    <w:rsid w:val="004354F4"/>
    <w:rsid w:val="00561AF6"/>
    <w:rsid w:val="00671DC1"/>
    <w:rsid w:val="006D0D98"/>
    <w:rsid w:val="00737B7E"/>
    <w:rsid w:val="00751E89"/>
    <w:rsid w:val="007D1F93"/>
    <w:rsid w:val="00845AD0"/>
    <w:rsid w:val="00935569"/>
    <w:rsid w:val="00946295"/>
    <w:rsid w:val="009C0062"/>
    <w:rsid w:val="00A077D5"/>
    <w:rsid w:val="00A83A58"/>
    <w:rsid w:val="00A84121"/>
    <w:rsid w:val="00AE25E1"/>
    <w:rsid w:val="00B01AC0"/>
    <w:rsid w:val="00B15019"/>
    <w:rsid w:val="00CB35A1"/>
    <w:rsid w:val="00CE143C"/>
    <w:rsid w:val="00EA5ECA"/>
    <w:rsid w:val="00F24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|"/>
  <w14:docId w14:val="3BA1FDE3"/>
  <w15:chartTrackingRefBased/>
  <w15:docId w15:val="{DAA7A584-1EB6-4926-AD30-F693DD0AF6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077D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2016E8"/>
    <w:pPr>
      <w:tabs>
        <w:tab w:val="center" w:pos="4680"/>
        <w:tab w:val="right" w:pos="9360"/>
      </w:tabs>
      <w:spacing w:after="0" w:line="240" w:lineRule="auto"/>
    </w:pPr>
    <w:rPr>
      <w:rFonts w:eastAsia="Times New Roman" w:cs="Times New Roman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2016E8"/>
    <w:rPr>
      <w:rFonts w:eastAsia="Times New Roman" w:cs="Times New Roman"/>
      <w:szCs w:val="24"/>
    </w:rPr>
  </w:style>
  <w:style w:type="table" w:styleId="TableGrid">
    <w:name w:val="Table Grid"/>
    <w:basedOn w:val="TableNormal"/>
    <w:rsid w:val="002016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016E8"/>
    <w:pPr>
      <w:tabs>
        <w:tab w:val="center" w:pos="4680"/>
        <w:tab w:val="right" w:pos="9360"/>
      </w:tabs>
      <w:spacing w:after="0" w:line="240" w:lineRule="auto"/>
    </w:pPr>
    <w:rPr>
      <w:rFonts w:eastAsia="Times New Roman" w:cs="Times New Roman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2016E8"/>
    <w:rPr>
      <w:rFonts w:eastAsia="Times New Roman" w:cs="Times New Roman"/>
      <w:szCs w:val="24"/>
    </w:rPr>
  </w:style>
  <w:style w:type="table" w:customStyle="1" w:styleId="TableGrid11">
    <w:name w:val="Table Grid11"/>
    <w:basedOn w:val="TableNormal"/>
    <w:next w:val="TableGrid"/>
    <w:rsid w:val="002016E8"/>
    <w:pPr>
      <w:spacing w:after="0" w:line="240" w:lineRule="auto"/>
    </w:pPr>
    <w:rPr>
      <w:rFonts w:eastAsia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D1F9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866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34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tmp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4E4E104BAD824B119568F7D82777EA7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06282D-56F5-412F-9B47-65254DE1842D}"/>
      </w:docPartPr>
      <w:docPartBody>
        <w:p w:rsidR="00000000" w:rsidRDefault="00361100" w:rsidP="00361100">
          <w:pPr>
            <w:pStyle w:val="4E4E104BAD824B119568F7D82777EA72"/>
          </w:pPr>
          <w:r>
            <w:rPr>
              <w:rStyle w:val="PlaceholderText"/>
              <w:rFonts w:eastAsiaTheme="minorHAnsi"/>
              <w:color w:val="767171" w:themeColor="background2" w:themeShade="80"/>
            </w:rPr>
            <w:t>Enter Subject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1100"/>
    <w:rsid w:val="003611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|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361100"/>
    <w:rPr>
      <w:color w:val="808080"/>
    </w:rPr>
  </w:style>
  <w:style w:type="paragraph" w:customStyle="1" w:styleId="4E4E104BAD824B119568F7D82777EA72">
    <w:name w:val="4E4E104BAD824B119568F7D82777EA72"/>
    <w:rsid w:val="0036110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6</Pages>
  <Words>968</Words>
  <Characters>5521</Characters>
  <Application>Microsoft Office Word</Application>
  <DocSecurity>0</DocSecurity>
  <Lines>46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Valenzuela, Kelvin</dc:creator>
  <cp:keywords/>
  <dc:description/>
  <cp:lastModifiedBy>Reynoso, Ed</cp:lastModifiedBy>
  <cp:revision>8</cp:revision>
  <dcterms:created xsi:type="dcterms:W3CDTF">2019-02-28T19:00:00Z</dcterms:created>
  <dcterms:modified xsi:type="dcterms:W3CDTF">2019-02-28T19:30:00Z</dcterms:modified>
</cp:coreProperties>
</file>